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0CF7" w14:textId="77777777" w:rsidR="00BB27EE" w:rsidRDefault="00BB27EE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BB27EE">
        <w:rPr>
          <w:rFonts w:asciiTheme="minorEastAsia" w:hAnsiTheme="minorEastAsia" w:hint="eastAsia"/>
          <w:b/>
          <w:bCs/>
          <w:sz w:val="32"/>
          <w:szCs w:val="32"/>
        </w:rPr>
        <w:t>2025年度化机公司保洁及绿化养护框架合同</w:t>
      </w:r>
    </w:p>
    <w:p w14:paraId="1943BEA9" w14:textId="645EE71C" w:rsidR="006B107A" w:rsidRPr="002B62A9" w:rsidRDefault="000D4D8A" w:rsidP="006C1A09">
      <w:pPr>
        <w:spacing w:line="540" w:lineRule="exact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14:paraId="56F6127D" w14:textId="77777777" w:rsidR="006B107A" w:rsidRPr="002B62A9" w:rsidRDefault="006B107A" w:rsidP="006C1A09">
      <w:pPr>
        <w:spacing w:line="54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</w:p>
    <w:p w14:paraId="39302EFC" w14:textId="5B8346C1"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AB464F">
        <w:rPr>
          <w:rFonts w:asciiTheme="minorEastAsia" w:hAnsiTheme="minorEastAsia" w:hint="eastAsia"/>
          <w:sz w:val="24"/>
          <w:szCs w:val="24"/>
        </w:rPr>
        <w:t>7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BB27EE" w:rsidRPr="00BB27EE">
        <w:rPr>
          <w:rFonts w:asciiTheme="minorEastAsia" w:hAnsiTheme="minorEastAsia" w:hint="eastAsia"/>
          <w:sz w:val="24"/>
          <w:szCs w:val="24"/>
        </w:rPr>
        <w:t>2025年度化机公司保洁及绿化养护框架合同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647" w:type="dxa"/>
        <w:jc w:val="center"/>
        <w:tblLook w:val="04A0" w:firstRow="1" w:lastRow="0" w:firstColumn="1" w:lastColumn="0" w:noHBand="0" w:noVBand="1"/>
      </w:tblPr>
      <w:tblGrid>
        <w:gridCol w:w="1980"/>
        <w:gridCol w:w="2281"/>
        <w:gridCol w:w="2693"/>
        <w:gridCol w:w="2693"/>
      </w:tblGrid>
      <w:tr w:rsidR="00AB464F" w:rsidRPr="002B62A9" w14:paraId="073EC59D" w14:textId="5941764C" w:rsidTr="00AB464F">
        <w:trPr>
          <w:trHeight w:val="713"/>
          <w:jc w:val="center"/>
        </w:trPr>
        <w:tc>
          <w:tcPr>
            <w:tcW w:w="1980" w:type="dxa"/>
            <w:vAlign w:val="center"/>
          </w:tcPr>
          <w:p w14:paraId="088750C4" w14:textId="77777777" w:rsidR="00AB464F" w:rsidRPr="002B62A9" w:rsidRDefault="00AB464F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281" w:type="dxa"/>
            <w:vAlign w:val="center"/>
          </w:tcPr>
          <w:p w14:paraId="4A32332A" w14:textId="77777777" w:rsidR="00AB464F" w:rsidRPr="00212F71" w:rsidRDefault="00AB464F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2693" w:type="dxa"/>
            <w:vAlign w:val="center"/>
          </w:tcPr>
          <w:p w14:paraId="022A6866" w14:textId="52B4EDFF" w:rsidR="00AB464F" w:rsidRPr="00212F71" w:rsidRDefault="00AB464F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2693" w:type="dxa"/>
            <w:vAlign w:val="center"/>
          </w:tcPr>
          <w:p w14:paraId="3F6431B4" w14:textId="67F90BA6" w:rsidR="00AB464F" w:rsidRPr="00212F71" w:rsidRDefault="00AB464F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</w:tr>
      <w:tr w:rsidR="00AB464F" w:rsidRPr="002B62A9" w14:paraId="680B25A8" w14:textId="01D3960B" w:rsidTr="00AB464F">
        <w:trPr>
          <w:trHeight w:val="679"/>
          <w:jc w:val="center"/>
        </w:trPr>
        <w:tc>
          <w:tcPr>
            <w:tcW w:w="1980" w:type="dxa"/>
            <w:vAlign w:val="center"/>
          </w:tcPr>
          <w:p w14:paraId="0E2FCCF0" w14:textId="77777777" w:rsidR="00AB464F" w:rsidRPr="002B62A9" w:rsidRDefault="00AB464F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281" w:type="dxa"/>
            <w:vAlign w:val="center"/>
          </w:tcPr>
          <w:p w14:paraId="5AD5CFCE" w14:textId="5E21DE74" w:rsidR="00AB464F" w:rsidRPr="00AB464F" w:rsidRDefault="00AB464F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B464F">
              <w:rPr>
                <w:rFonts w:asciiTheme="minorEastAsia" w:hAnsiTheme="minorEastAsia" w:hint="eastAsia"/>
                <w:sz w:val="24"/>
                <w:szCs w:val="24"/>
              </w:rPr>
              <w:t>南京永元物业发展有限公司</w:t>
            </w:r>
          </w:p>
        </w:tc>
        <w:tc>
          <w:tcPr>
            <w:tcW w:w="2693" w:type="dxa"/>
            <w:vAlign w:val="center"/>
          </w:tcPr>
          <w:p w14:paraId="3756F51B" w14:textId="422C5364" w:rsidR="00AB464F" w:rsidRPr="00AB464F" w:rsidRDefault="00BB27EE" w:rsidP="0043084B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  <w:r w:rsidRPr="00BB27EE">
              <w:rPr>
                <w:rFonts w:hint="eastAsia"/>
                <w:color w:val="000000"/>
                <w:sz w:val="24"/>
                <w:szCs w:val="24"/>
              </w:rPr>
              <w:t>南京扬子园林景观工程有限责任公司</w:t>
            </w:r>
          </w:p>
        </w:tc>
        <w:tc>
          <w:tcPr>
            <w:tcW w:w="2693" w:type="dxa"/>
            <w:vAlign w:val="center"/>
          </w:tcPr>
          <w:p w14:paraId="2D2FDAB2" w14:textId="63A8BEF7" w:rsidR="00AB464F" w:rsidRPr="00AB464F" w:rsidRDefault="00BB27EE" w:rsidP="0043084B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  <w:r w:rsidRPr="00BB27EE">
              <w:rPr>
                <w:rFonts w:hint="eastAsia"/>
                <w:color w:val="000000"/>
                <w:sz w:val="24"/>
                <w:szCs w:val="24"/>
              </w:rPr>
              <w:t>南京南炼华雄园林实业有限公司</w:t>
            </w:r>
          </w:p>
        </w:tc>
      </w:tr>
      <w:tr w:rsidR="00AB464F" w:rsidRPr="002B62A9" w14:paraId="317BA8AD" w14:textId="1FE5A913" w:rsidTr="00AB464F">
        <w:trPr>
          <w:trHeight w:val="713"/>
          <w:jc w:val="center"/>
        </w:trPr>
        <w:tc>
          <w:tcPr>
            <w:tcW w:w="1980" w:type="dxa"/>
            <w:vAlign w:val="center"/>
          </w:tcPr>
          <w:p w14:paraId="0EB08882" w14:textId="7CFE7999" w:rsidR="00AB464F" w:rsidRPr="002B62A9" w:rsidRDefault="00AB464F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BB27EE">
              <w:rPr>
                <w:rFonts w:asciiTheme="minorEastAsia" w:hAnsiTheme="minorEastAsia" w:hint="eastAsia"/>
                <w:b/>
                <w:sz w:val="24"/>
                <w:szCs w:val="24"/>
              </w:rPr>
              <w:t>元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81" w:type="dxa"/>
            <w:vAlign w:val="center"/>
          </w:tcPr>
          <w:p w14:paraId="25719AFA" w14:textId="43D4375C" w:rsidR="00AB464F" w:rsidRPr="002B62A9" w:rsidRDefault="00BB27EE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730000</w:t>
            </w:r>
          </w:p>
        </w:tc>
        <w:tc>
          <w:tcPr>
            <w:tcW w:w="2693" w:type="dxa"/>
            <w:vAlign w:val="center"/>
          </w:tcPr>
          <w:p w14:paraId="617456BC" w14:textId="2D91EF79" w:rsidR="00AB464F" w:rsidRDefault="00BB27EE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790000</w:t>
            </w:r>
          </w:p>
        </w:tc>
        <w:tc>
          <w:tcPr>
            <w:tcW w:w="2693" w:type="dxa"/>
            <w:vAlign w:val="center"/>
          </w:tcPr>
          <w:p w14:paraId="4893F02E" w14:textId="2F7FF531" w:rsidR="00AB464F" w:rsidRDefault="00BB27EE" w:rsidP="0043084B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814500</w:t>
            </w:r>
          </w:p>
        </w:tc>
      </w:tr>
    </w:tbl>
    <w:p w14:paraId="72369F62" w14:textId="691036FD"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7D4DBD" w:rsidRPr="0049711E">
        <w:rPr>
          <w:rFonts w:asciiTheme="minorEastAsia" w:hAnsiTheme="minorEastAsia"/>
          <w:sz w:val="24"/>
          <w:szCs w:val="24"/>
        </w:rPr>
        <w:t>1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43084B" w:rsidRPr="0049711E">
        <w:rPr>
          <w:rFonts w:asciiTheme="minorEastAsia" w:hAnsiTheme="minorEastAsia"/>
          <w:sz w:val="24"/>
          <w:szCs w:val="24"/>
        </w:rPr>
        <w:t>2</w:t>
      </w:r>
      <w:r w:rsidR="00BB27EE">
        <w:rPr>
          <w:rFonts w:asciiTheme="minorEastAsia" w:hAnsiTheme="minorEastAsia" w:hint="eastAsia"/>
          <w:sz w:val="24"/>
          <w:szCs w:val="24"/>
        </w:rPr>
        <w:t>4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BB27EE">
        <w:rPr>
          <w:rFonts w:asciiTheme="minorEastAsia" w:hAnsiTheme="minorEastAsia" w:hint="eastAsia"/>
          <w:sz w:val="24"/>
          <w:szCs w:val="24"/>
        </w:rPr>
        <w:t>15</w:t>
      </w:r>
      <w:r w:rsidRPr="0049711E">
        <w:rPr>
          <w:rFonts w:asciiTheme="minorEastAsia" w:hAnsiTheme="minorEastAsia" w:hint="eastAsia"/>
          <w:sz w:val="24"/>
          <w:szCs w:val="24"/>
        </w:rPr>
        <w:t>时起至</w:t>
      </w:r>
      <w:r w:rsidR="006B107A" w:rsidRPr="0049711E">
        <w:rPr>
          <w:rFonts w:asciiTheme="minorEastAsia" w:hAnsiTheme="minorEastAsia" w:hint="eastAsia"/>
          <w:sz w:val="24"/>
          <w:szCs w:val="24"/>
        </w:rPr>
        <w:t xml:space="preserve"> 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D93BC2" w:rsidRPr="0049711E">
        <w:rPr>
          <w:rFonts w:asciiTheme="minorEastAsia" w:hAnsiTheme="minorEastAsia" w:hint="eastAsia"/>
          <w:sz w:val="24"/>
          <w:szCs w:val="24"/>
        </w:rPr>
        <w:t>1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BB27EE">
        <w:rPr>
          <w:rFonts w:asciiTheme="minorEastAsia" w:hAnsiTheme="minorEastAsia" w:hint="eastAsia"/>
          <w:sz w:val="24"/>
          <w:szCs w:val="24"/>
        </w:rPr>
        <w:t>26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14:paraId="348D556F" w14:textId="77777777"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2D134D4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大厂街道姜桥一号</w:t>
      </w:r>
    </w:p>
    <w:p w14:paraId="5888815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14:paraId="07D70409" w14:textId="64306A5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14:paraId="5EC2726F" w14:textId="0DC8EBE4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4ACE9C2" w14:textId="37544D32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C4B9428" w14:textId="4824C378" w:rsidR="006B107A" w:rsidRPr="002B62A9" w:rsidRDefault="000D4D8A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6A7F7EB2" w14:textId="75FFB26B"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14:paraId="1B6DA9C3" w14:textId="131C0D2A" w:rsidR="00580B99" w:rsidRPr="0049711E" w:rsidRDefault="000D4D8A" w:rsidP="006C1A09">
      <w:pPr>
        <w:spacing w:line="540" w:lineRule="exact"/>
        <w:jc w:val="right"/>
        <w:rPr>
          <w:rFonts w:ascii="仿宋_GB2312" w:eastAsia="仿宋_GB2312" w:hAnsi="仿宋" w:hint="eastAsia"/>
          <w:sz w:val="32"/>
          <w:szCs w:val="32"/>
        </w:rPr>
      </w:pP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9C19AC" w:rsidRPr="0049711E">
        <w:rPr>
          <w:rFonts w:asciiTheme="minorEastAsia" w:hAnsiTheme="minorEastAsia"/>
          <w:sz w:val="24"/>
          <w:szCs w:val="24"/>
        </w:rPr>
        <w:t>1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AB464F">
        <w:rPr>
          <w:rFonts w:asciiTheme="minorEastAsia" w:hAnsiTheme="minorEastAsia" w:hint="eastAsia"/>
          <w:sz w:val="24"/>
          <w:szCs w:val="24"/>
        </w:rPr>
        <w:t>2</w:t>
      </w:r>
      <w:r w:rsidR="00BB27EE">
        <w:rPr>
          <w:rFonts w:asciiTheme="minorEastAsia" w:hAnsiTheme="minorEastAsia" w:hint="eastAsia"/>
          <w:sz w:val="24"/>
          <w:szCs w:val="24"/>
        </w:rPr>
        <w:t>4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49711E" w:rsidSect="007F6C5D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9872" w14:textId="77777777" w:rsidR="005D5E22" w:rsidRDefault="005D5E22" w:rsidP="00517DC3">
      <w:r>
        <w:separator/>
      </w:r>
    </w:p>
  </w:endnote>
  <w:endnote w:type="continuationSeparator" w:id="0">
    <w:p w14:paraId="68B33ADB" w14:textId="77777777" w:rsidR="005D5E22" w:rsidRDefault="005D5E22" w:rsidP="0051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9A90" w14:textId="77777777" w:rsidR="0082232E" w:rsidRPr="00FC609C" w:rsidRDefault="0082232E" w:rsidP="0082232E">
    <w:pPr>
      <w:pStyle w:val="a6"/>
      <w:framePr w:h="0" w:wrap="around" w:vAnchor="text" w:hAnchor="page" w:x="1642" w:y="-60"/>
      <w:ind w:rightChars="100" w:right="210" w:firstLineChars="50" w:firstLine="141"/>
      <w:rPr>
        <w:rStyle w:val="a8"/>
        <w:rFonts w:ascii="宋体" w:eastAsia="宋体" w:hAnsi="宋体" w:hint="eastAsia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8"/>
        <w:rFonts w:ascii="宋体" w:eastAsia="宋体" w:hAnsi="宋体"/>
        <w:b/>
        <w:noProof/>
        <w:sz w:val="28"/>
        <w:szCs w:val="24"/>
      </w:rPr>
      <w:t>2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091E8B8A" w14:textId="77777777" w:rsidR="0082232E" w:rsidRDefault="00822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B14EE" w14:textId="77777777" w:rsidR="0082232E" w:rsidRPr="00FC609C" w:rsidRDefault="0082232E" w:rsidP="0082232E">
    <w:pPr>
      <w:pStyle w:val="a6"/>
      <w:framePr w:h="0" w:wrap="around" w:vAnchor="text" w:hAnchor="margin" w:xAlign="outside" w:y="1"/>
      <w:ind w:rightChars="100" w:right="210"/>
      <w:rPr>
        <w:rStyle w:val="a8"/>
        <w:rFonts w:ascii="宋体" w:eastAsia="宋体" w:hAnsi="宋体" w:hint="eastAsia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471D5C">
      <w:rPr>
        <w:rStyle w:val="a8"/>
        <w:rFonts w:ascii="宋体" w:eastAsia="宋体" w:hAnsi="宋体"/>
        <w:b/>
        <w:noProof/>
        <w:sz w:val="28"/>
        <w:szCs w:val="24"/>
      </w:rPr>
      <w:t>1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252ECDB2" w14:textId="77777777" w:rsidR="0082232E" w:rsidRDefault="00822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2ECA" w14:textId="77777777" w:rsidR="005D5E22" w:rsidRDefault="005D5E22" w:rsidP="00517DC3">
      <w:r>
        <w:separator/>
      </w:r>
    </w:p>
  </w:footnote>
  <w:footnote w:type="continuationSeparator" w:id="0">
    <w:p w14:paraId="714B1BF5" w14:textId="77777777" w:rsidR="005D5E22" w:rsidRDefault="005D5E22" w:rsidP="0051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53"/>
    <w:rsid w:val="00051534"/>
    <w:rsid w:val="00071FBC"/>
    <w:rsid w:val="000D4D8A"/>
    <w:rsid w:val="001443D2"/>
    <w:rsid w:val="001763B7"/>
    <w:rsid w:val="00184685"/>
    <w:rsid w:val="001B49E4"/>
    <w:rsid w:val="00212F71"/>
    <w:rsid w:val="002422B1"/>
    <w:rsid w:val="00244DAE"/>
    <w:rsid w:val="0025755D"/>
    <w:rsid w:val="00267B54"/>
    <w:rsid w:val="00273C3C"/>
    <w:rsid w:val="00274453"/>
    <w:rsid w:val="00297172"/>
    <w:rsid w:val="002B62A9"/>
    <w:rsid w:val="002F2274"/>
    <w:rsid w:val="00335A48"/>
    <w:rsid w:val="00400BCD"/>
    <w:rsid w:val="00407B32"/>
    <w:rsid w:val="00424FA4"/>
    <w:rsid w:val="0042735E"/>
    <w:rsid w:val="0043084B"/>
    <w:rsid w:val="00450657"/>
    <w:rsid w:val="00455CDB"/>
    <w:rsid w:val="00471D5C"/>
    <w:rsid w:val="00491EA2"/>
    <w:rsid w:val="0049711E"/>
    <w:rsid w:val="004A79A1"/>
    <w:rsid w:val="004B075C"/>
    <w:rsid w:val="004F1CDC"/>
    <w:rsid w:val="004F7CDB"/>
    <w:rsid w:val="00517DC3"/>
    <w:rsid w:val="00520B5A"/>
    <w:rsid w:val="00550632"/>
    <w:rsid w:val="0057188C"/>
    <w:rsid w:val="00580B99"/>
    <w:rsid w:val="005828D7"/>
    <w:rsid w:val="005843E2"/>
    <w:rsid w:val="005D1EC5"/>
    <w:rsid w:val="005D5E22"/>
    <w:rsid w:val="0061751D"/>
    <w:rsid w:val="00622825"/>
    <w:rsid w:val="006453C9"/>
    <w:rsid w:val="0065602D"/>
    <w:rsid w:val="006943AA"/>
    <w:rsid w:val="006B107A"/>
    <w:rsid w:val="006C1A09"/>
    <w:rsid w:val="00700915"/>
    <w:rsid w:val="00702224"/>
    <w:rsid w:val="00765C82"/>
    <w:rsid w:val="0077073E"/>
    <w:rsid w:val="007D4DBD"/>
    <w:rsid w:val="007F6C5D"/>
    <w:rsid w:val="008065EB"/>
    <w:rsid w:val="0082232E"/>
    <w:rsid w:val="00875433"/>
    <w:rsid w:val="00901C29"/>
    <w:rsid w:val="00957268"/>
    <w:rsid w:val="009A3A90"/>
    <w:rsid w:val="009C19AC"/>
    <w:rsid w:val="009F1B69"/>
    <w:rsid w:val="00A56BE1"/>
    <w:rsid w:val="00AA7AE1"/>
    <w:rsid w:val="00AB38ED"/>
    <w:rsid w:val="00AB464F"/>
    <w:rsid w:val="00B0255B"/>
    <w:rsid w:val="00B30224"/>
    <w:rsid w:val="00B37173"/>
    <w:rsid w:val="00BB27EE"/>
    <w:rsid w:val="00BC6A76"/>
    <w:rsid w:val="00C155AE"/>
    <w:rsid w:val="00C41AD7"/>
    <w:rsid w:val="00C7151D"/>
    <w:rsid w:val="00C93632"/>
    <w:rsid w:val="00CC0712"/>
    <w:rsid w:val="00D40838"/>
    <w:rsid w:val="00D93BC2"/>
    <w:rsid w:val="00DE30AE"/>
    <w:rsid w:val="00DE6974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D564C"/>
  <w15:chartTrackingRefBased/>
  <w15:docId w15:val="{3CB16471-5F98-45E0-BA32-384342E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7DC3"/>
    <w:rPr>
      <w:sz w:val="18"/>
      <w:szCs w:val="18"/>
    </w:rPr>
  </w:style>
  <w:style w:type="paragraph" w:styleId="a6">
    <w:name w:val="footer"/>
    <w:basedOn w:val="a"/>
    <w:link w:val="a7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7DC3"/>
    <w:rPr>
      <w:sz w:val="18"/>
      <w:szCs w:val="18"/>
    </w:rPr>
  </w:style>
  <w:style w:type="character" w:styleId="a8">
    <w:name w:val="page number"/>
    <w:basedOn w:val="a0"/>
    <w:rsid w:val="0082232E"/>
  </w:style>
  <w:style w:type="paragraph" w:styleId="a9">
    <w:name w:val="Date"/>
    <w:basedOn w:val="a"/>
    <w:next w:val="a"/>
    <w:link w:val="aa"/>
    <w:uiPriority w:val="99"/>
    <w:semiHidden/>
    <w:unhideWhenUsed/>
    <w:rsid w:val="00580B9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8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594F33-9B75-4D98-9CC9-289F77AE9305}"/>
</file>

<file path=customXml/itemProps2.xml><?xml version="1.0" encoding="utf-8"?>
<ds:datastoreItem xmlns:ds="http://schemas.openxmlformats.org/officeDocument/2006/customXml" ds:itemID="{D73D3B81-4E67-4DDE-8ACD-2BA63CE79207}"/>
</file>

<file path=customXml/itemProps3.xml><?xml version="1.0" encoding="utf-8"?>
<ds:datastoreItem xmlns:ds="http://schemas.openxmlformats.org/officeDocument/2006/customXml" ds:itemID="{62ED1CBE-F109-4BB1-851D-E8AAF5F6D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403</Characters>
  <Application>Microsoft Office Word</Application>
  <DocSecurity>0</DocSecurity>
  <Lines>3</Lines>
  <Paragraphs>1</Paragraphs>
  <ScaleCrop>false</ScaleCrop>
  <Company>Sinopec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颖颖 葛</cp:lastModifiedBy>
  <cp:revision>20</cp:revision>
  <dcterms:created xsi:type="dcterms:W3CDTF">2022-07-21T07:40:00Z</dcterms:created>
  <dcterms:modified xsi:type="dcterms:W3CDTF">2025-01-24T06:29:00Z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