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1FFD" w14:textId="77777777" w:rsidR="005F66E3" w:rsidRDefault="005F66E3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F66E3">
        <w:rPr>
          <w:rFonts w:asciiTheme="minorEastAsia" w:hAnsiTheme="minorEastAsia" w:hint="eastAsia"/>
          <w:b/>
          <w:bCs/>
          <w:sz w:val="32"/>
          <w:szCs w:val="32"/>
        </w:rPr>
        <w:t>2024-2025年度化机公司电机及电动工具维修框架合同</w:t>
      </w:r>
    </w:p>
    <w:p w14:paraId="1943BEA9" w14:textId="741F56D5"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14:paraId="56F6127D" w14:textId="77777777"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39302EFC" w14:textId="5EEEA870"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267B54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="00D93BC2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F80B36">
        <w:rPr>
          <w:rFonts w:asciiTheme="minorEastAsia" w:hAnsiTheme="minor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5F66E3" w:rsidRPr="005F66E3">
        <w:rPr>
          <w:rFonts w:asciiTheme="minorEastAsia" w:hAnsiTheme="minorEastAsia" w:hint="eastAsia"/>
          <w:sz w:val="24"/>
          <w:szCs w:val="24"/>
        </w:rPr>
        <w:t>2024-2025年度化机公司电机及电动工具维修框架合同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267B54" w:rsidRPr="002B62A9" w14:paraId="073EC59D" w14:textId="2DDAD397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14:paraId="088750C4" w14:textId="77777777" w:rsidR="00267B54" w:rsidRPr="002B62A9" w:rsidRDefault="00267B54" w:rsidP="005F66E3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14:paraId="4A32332A" w14:textId="77777777" w:rsidR="00267B54" w:rsidRPr="00212F71" w:rsidRDefault="00267B54" w:rsidP="005F66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2126" w:type="dxa"/>
            <w:vAlign w:val="center"/>
          </w:tcPr>
          <w:p w14:paraId="02E1A26F" w14:textId="77777777" w:rsidR="00267B54" w:rsidRPr="00212F71" w:rsidRDefault="00267B54" w:rsidP="005F66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2126" w:type="dxa"/>
            <w:vAlign w:val="center"/>
          </w:tcPr>
          <w:p w14:paraId="25213D70" w14:textId="77777777" w:rsidR="00267B54" w:rsidRPr="00212F71" w:rsidRDefault="00267B54" w:rsidP="005F66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</w:tr>
      <w:tr w:rsidR="00267B54" w:rsidRPr="002B62A9" w14:paraId="680B25A8" w14:textId="340B9A60" w:rsidTr="00267B54">
        <w:trPr>
          <w:trHeight w:val="679"/>
          <w:jc w:val="center"/>
        </w:trPr>
        <w:tc>
          <w:tcPr>
            <w:tcW w:w="2689" w:type="dxa"/>
            <w:vAlign w:val="center"/>
          </w:tcPr>
          <w:p w14:paraId="0E2FCCF0" w14:textId="77777777" w:rsidR="00267B54" w:rsidRPr="002B62A9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14:paraId="5AD5CFCE" w14:textId="535130AA" w:rsidR="00267B54" w:rsidRPr="007D4DBD" w:rsidRDefault="001763B7" w:rsidP="00212F71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7E1A">
              <w:rPr>
                <w:rFonts w:ascii="宋体" w:hAnsi="宋体" w:cs="宋体" w:hint="eastAsia"/>
                <w:kern w:val="0"/>
                <w:szCs w:val="21"/>
              </w:rPr>
              <w:t>扬州恒进建设集团有限公司</w:t>
            </w:r>
          </w:p>
        </w:tc>
        <w:tc>
          <w:tcPr>
            <w:tcW w:w="2126" w:type="dxa"/>
            <w:vAlign w:val="center"/>
          </w:tcPr>
          <w:p w14:paraId="5791E9A7" w14:textId="4D6B905C" w:rsidR="00267B54" w:rsidRPr="007D4DBD" w:rsidRDefault="005F66E3" w:rsidP="00212F71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F66E3">
              <w:rPr>
                <w:rFonts w:asciiTheme="minorEastAsia" w:hAnsiTheme="minorEastAsia" w:hint="eastAsia"/>
                <w:szCs w:val="21"/>
              </w:rPr>
              <w:t>南京市六合区郑德成机电修理部</w:t>
            </w:r>
          </w:p>
        </w:tc>
        <w:tc>
          <w:tcPr>
            <w:tcW w:w="2126" w:type="dxa"/>
            <w:vAlign w:val="center"/>
          </w:tcPr>
          <w:p w14:paraId="13BD8104" w14:textId="39EC1BD3" w:rsidR="00267B54" w:rsidRPr="007D4DBD" w:rsidRDefault="005F66E3" w:rsidP="00212F71">
            <w:pPr>
              <w:spacing w:line="5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F66E3">
              <w:rPr>
                <w:rFonts w:hint="eastAsia"/>
                <w:color w:val="000000"/>
              </w:rPr>
              <w:t>南京市六合区永贵机电经营部</w:t>
            </w:r>
          </w:p>
        </w:tc>
      </w:tr>
      <w:tr w:rsidR="00267B54" w:rsidRPr="002B62A9" w14:paraId="317BA8AD" w14:textId="516FC369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14:paraId="0EB08882" w14:textId="405F14DB" w:rsidR="00267B54" w:rsidRPr="002B62A9" w:rsidRDefault="005F66E3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维修费综合单价报价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2126" w:type="dxa"/>
            <w:vAlign w:val="center"/>
          </w:tcPr>
          <w:p w14:paraId="25719AFA" w14:textId="73745108" w:rsidR="00267B54" w:rsidRPr="002B62A9" w:rsidRDefault="005F66E3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6E3">
              <w:rPr>
                <w:rFonts w:asciiTheme="minorEastAsia" w:hAnsiTheme="minorEastAsia"/>
                <w:sz w:val="24"/>
                <w:szCs w:val="24"/>
              </w:rPr>
              <w:t>12912.5</w:t>
            </w:r>
          </w:p>
        </w:tc>
        <w:tc>
          <w:tcPr>
            <w:tcW w:w="2126" w:type="dxa"/>
            <w:vAlign w:val="center"/>
          </w:tcPr>
          <w:p w14:paraId="125321B2" w14:textId="38C78E5C" w:rsidR="00267B54" w:rsidRPr="002B62A9" w:rsidRDefault="005F66E3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6E3">
              <w:rPr>
                <w:rFonts w:asciiTheme="minorEastAsia" w:hAnsiTheme="minorEastAsia"/>
                <w:sz w:val="24"/>
                <w:szCs w:val="24"/>
              </w:rPr>
              <w:t>14915</w:t>
            </w:r>
          </w:p>
        </w:tc>
        <w:tc>
          <w:tcPr>
            <w:tcW w:w="2126" w:type="dxa"/>
            <w:vAlign w:val="center"/>
          </w:tcPr>
          <w:p w14:paraId="1A4057F9" w14:textId="0E619024" w:rsidR="00267B54" w:rsidRPr="002B62A9" w:rsidRDefault="005F66E3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6E3">
              <w:rPr>
                <w:rFonts w:asciiTheme="minorEastAsia" w:hAnsiTheme="minorEastAsia"/>
                <w:sz w:val="24"/>
                <w:szCs w:val="24"/>
              </w:rPr>
              <w:t>15003.8</w:t>
            </w:r>
          </w:p>
        </w:tc>
      </w:tr>
    </w:tbl>
    <w:p w14:paraId="72369F62" w14:textId="3850F706"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626CA3">
        <w:rPr>
          <w:rFonts w:asciiTheme="minorEastAsia" w:hAnsiTheme="minorEastAsia" w:hint="eastAsia"/>
          <w:sz w:val="24"/>
          <w:szCs w:val="24"/>
        </w:rPr>
        <w:t>202</w:t>
      </w:r>
      <w:r w:rsidR="00267B54" w:rsidRPr="00626CA3">
        <w:rPr>
          <w:rFonts w:asciiTheme="minorEastAsia" w:hAnsiTheme="minorEastAsia"/>
          <w:sz w:val="24"/>
          <w:szCs w:val="24"/>
        </w:rPr>
        <w:t>3</w:t>
      </w:r>
      <w:r w:rsidRPr="00626CA3">
        <w:rPr>
          <w:rFonts w:asciiTheme="minorEastAsia" w:hAnsiTheme="minorEastAsia" w:hint="eastAsia"/>
          <w:sz w:val="24"/>
          <w:szCs w:val="24"/>
        </w:rPr>
        <w:t>年</w:t>
      </w:r>
      <w:r w:rsidR="007D4DBD" w:rsidRPr="00626CA3">
        <w:rPr>
          <w:rFonts w:asciiTheme="minorEastAsia" w:hAnsiTheme="minorEastAsia"/>
          <w:sz w:val="24"/>
          <w:szCs w:val="24"/>
        </w:rPr>
        <w:t>1</w:t>
      </w:r>
      <w:r w:rsidR="00D93BC2" w:rsidRPr="00626CA3">
        <w:rPr>
          <w:rFonts w:asciiTheme="minorEastAsia" w:hAnsiTheme="minorEastAsia"/>
          <w:sz w:val="24"/>
          <w:szCs w:val="24"/>
        </w:rPr>
        <w:t>2</w:t>
      </w:r>
      <w:r w:rsidRPr="00626CA3">
        <w:rPr>
          <w:rFonts w:asciiTheme="minorEastAsia" w:hAnsiTheme="minorEastAsia" w:hint="eastAsia"/>
          <w:sz w:val="24"/>
          <w:szCs w:val="24"/>
        </w:rPr>
        <w:t>月</w:t>
      </w:r>
      <w:r w:rsidR="00D93BC2" w:rsidRPr="00626CA3">
        <w:rPr>
          <w:rFonts w:asciiTheme="minorEastAsia" w:hAnsiTheme="minorEastAsia"/>
          <w:sz w:val="24"/>
          <w:szCs w:val="24"/>
        </w:rPr>
        <w:t>1</w:t>
      </w:r>
      <w:r w:rsidR="00626CA3" w:rsidRPr="00626CA3">
        <w:rPr>
          <w:rFonts w:asciiTheme="minorEastAsia" w:hAnsiTheme="minorEastAsia"/>
          <w:sz w:val="24"/>
          <w:szCs w:val="24"/>
        </w:rPr>
        <w:t>9</w:t>
      </w:r>
      <w:r w:rsidRPr="00626CA3">
        <w:rPr>
          <w:rFonts w:asciiTheme="minorEastAsia" w:hAnsiTheme="minorEastAsia" w:hint="eastAsia"/>
          <w:sz w:val="24"/>
          <w:szCs w:val="24"/>
        </w:rPr>
        <w:t>日</w:t>
      </w:r>
      <w:r w:rsidR="00407B32" w:rsidRPr="00626CA3">
        <w:rPr>
          <w:rFonts w:asciiTheme="minorEastAsia" w:hAnsiTheme="minorEastAsia"/>
          <w:sz w:val="24"/>
          <w:szCs w:val="24"/>
        </w:rPr>
        <w:t>1</w:t>
      </w:r>
      <w:r w:rsidR="00626CA3" w:rsidRPr="00626CA3">
        <w:rPr>
          <w:rFonts w:asciiTheme="minorEastAsia" w:hAnsiTheme="minorEastAsia"/>
          <w:sz w:val="24"/>
          <w:szCs w:val="24"/>
        </w:rPr>
        <w:t>6</w:t>
      </w:r>
      <w:r w:rsidRPr="00626CA3">
        <w:rPr>
          <w:rFonts w:asciiTheme="minorEastAsia" w:hAnsiTheme="minorEastAsia" w:hint="eastAsia"/>
          <w:sz w:val="24"/>
          <w:szCs w:val="24"/>
        </w:rPr>
        <w:t>时起至</w:t>
      </w:r>
      <w:r w:rsidR="006B107A" w:rsidRPr="00626CA3">
        <w:rPr>
          <w:rFonts w:asciiTheme="minorEastAsia" w:hAnsiTheme="minorEastAsia" w:hint="eastAsia"/>
          <w:sz w:val="24"/>
          <w:szCs w:val="24"/>
        </w:rPr>
        <w:t xml:space="preserve"> 202</w:t>
      </w:r>
      <w:r w:rsidR="00267B54" w:rsidRPr="00626CA3">
        <w:rPr>
          <w:rFonts w:asciiTheme="minorEastAsia" w:hAnsiTheme="minorEastAsia"/>
          <w:sz w:val="24"/>
          <w:szCs w:val="24"/>
        </w:rPr>
        <w:t>3</w:t>
      </w:r>
      <w:r w:rsidRPr="00626CA3">
        <w:rPr>
          <w:rFonts w:asciiTheme="minorEastAsia" w:hAnsiTheme="minorEastAsia" w:hint="eastAsia"/>
          <w:sz w:val="24"/>
          <w:szCs w:val="24"/>
        </w:rPr>
        <w:t>年</w:t>
      </w:r>
      <w:r w:rsidR="00D93BC2" w:rsidRPr="00626CA3">
        <w:rPr>
          <w:rFonts w:asciiTheme="minorEastAsia" w:hAnsiTheme="minorEastAsia" w:hint="eastAsia"/>
          <w:sz w:val="24"/>
          <w:szCs w:val="24"/>
        </w:rPr>
        <w:t>1</w:t>
      </w:r>
      <w:r w:rsidR="002F2274" w:rsidRPr="00626CA3">
        <w:rPr>
          <w:rFonts w:asciiTheme="minorEastAsia" w:hAnsiTheme="minorEastAsia"/>
          <w:sz w:val="24"/>
          <w:szCs w:val="24"/>
        </w:rPr>
        <w:t>2</w:t>
      </w:r>
      <w:r w:rsidRPr="00626CA3">
        <w:rPr>
          <w:rFonts w:asciiTheme="minorEastAsia" w:hAnsiTheme="minorEastAsia" w:hint="eastAsia"/>
          <w:sz w:val="24"/>
          <w:szCs w:val="24"/>
        </w:rPr>
        <w:t>月</w:t>
      </w:r>
      <w:r w:rsidR="0006353D">
        <w:rPr>
          <w:rFonts w:asciiTheme="minorEastAsia" w:hAnsiTheme="minorEastAsia"/>
          <w:sz w:val="24"/>
          <w:szCs w:val="24"/>
        </w:rPr>
        <w:t>21</w:t>
      </w:r>
      <w:r w:rsidRPr="00626CA3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626CA3">
        <w:rPr>
          <w:rFonts w:asciiTheme="minorEastAsia" w:hAnsiTheme="minorEastAsia"/>
          <w:sz w:val="24"/>
          <w:szCs w:val="24"/>
        </w:rPr>
        <w:t>6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14:paraId="348D556F" w14:textId="77777777"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2D134D4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大厂街道姜桥一号</w:t>
      </w:r>
    </w:p>
    <w:p w14:paraId="58888158" w14:textId="7777777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14:paraId="07D70409" w14:textId="64306A57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14:paraId="5EC2726F" w14:textId="0DC8EBE4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4ACE9C2" w14:textId="37544D32"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2C4B9428" w14:textId="4824C378"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14:paraId="6A7F7EB2" w14:textId="75FFB26B"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14:paraId="1DD7782C" w14:textId="5E7C471F" w:rsidR="005F66E3" w:rsidRPr="00626CA3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  <w:sectPr w:rsidR="005F66E3" w:rsidRPr="00626CA3" w:rsidSect="00491EA2">
          <w:footerReference w:type="even" r:id="rId6"/>
          <w:footerReference w:type="default" r:id="rId7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 w:rsidRPr="00626CA3">
        <w:rPr>
          <w:rFonts w:asciiTheme="minorEastAsia" w:hAnsiTheme="minorEastAsia" w:hint="eastAsia"/>
          <w:sz w:val="24"/>
          <w:szCs w:val="24"/>
        </w:rPr>
        <w:t>202</w:t>
      </w:r>
      <w:r w:rsidR="0025755D" w:rsidRPr="00626CA3">
        <w:rPr>
          <w:rFonts w:asciiTheme="minorEastAsia" w:hAnsiTheme="minorEastAsia"/>
          <w:sz w:val="24"/>
          <w:szCs w:val="24"/>
        </w:rPr>
        <w:t>3</w:t>
      </w:r>
      <w:r w:rsidRPr="00626CA3">
        <w:rPr>
          <w:rFonts w:asciiTheme="minorEastAsia" w:hAnsiTheme="minorEastAsia" w:hint="eastAsia"/>
          <w:sz w:val="24"/>
          <w:szCs w:val="24"/>
        </w:rPr>
        <w:t>年</w:t>
      </w:r>
      <w:r w:rsidR="009C19AC" w:rsidRPr="00626CA3">
        <w:rPr>
          <w:rFonts w:asciiTheme="minorEastAsia" w:hAnsiTheme="minorEastAsia"/>
          <w:sz w:val="24"/>
          <w:szCs w:val="24"/>
        </w:rPr>
        <w:t>1</w:t>
      </w:r>
      <w:r w:rsidR="00D93BC2" w:rsidRPr="00626CA3">
        <w:rPr>
          <w:rFonts w:asciiTheme="minorEastAsia" w:hAnsiTheme="minorEastAsia"/>
          <w:sz w:val="24"/>
          <w:szCs w:val="24"/>
        </w:rPr>
        <w:t>2</w:t>
      </w:r>
      <w:r w:rsidRPr="00626CA3">
        <w:rPr>
          <w:rFonts w:asciiTheme="minorEastAsia" w:hAnsiTheme="minorEastAsia" w:hint="eastAsia"/>
          <w:sz w:val="24"/>
          <w:szCs w:val="24"/>
        </w:rPr>
        <w:t>月</w:t>
      </w:r>
      <w:r w:rsidR="00D93BC2" w:rsidRPr="00626CA3">
        <w:rPr>
          <w:rFonts w:asciiTheme="minorEastAsia" w:hAnsiTheme="minorEastAsia"/>
          <w:sz w:val="24"/>
          <w:szCs w:val="24"/>
        </w:rPr>
        <w:t>1</w:t>
      </w:r>
      <w:r w:rsidR="00626CA3" w:rsidRPr="00626CA3">
        <w:rPr>
          <w:rFonts w:asciiTheme="minorEastAsia" w:hAnsiTheme="minorEastAsia"/>
          <w:sz w:val="24"/>
          <w:szCs w:val="24"/>
        </w:rPr>
        <w:t>9</w:t>
      </w:r>
      <w:r w:rsidRPr="00626CA3">
        <w:rPr>
          <w:rFonts w:asciiTheme="minorEastAsia" w:hAnsiTheme="minorEastAsia" w:hint="eastAsia"/>
          <w:sz w:val="24"/>
          <w:szCs w:val="24"/>
        </w:rPr>
        <w:t>日</w:t>
      </w:r>
    </w:p>
    <w:p w14:paraId="4F47092D" w14:textId="08944D70" w:rsidR="005F66E3" w:rsidRDefault="005F66E3" w:rsidP="005F66E3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明细清单</w:t>
      </w:r>
    </w:p>
    <w:tbl>
      <w:tblPr>
        <w:tblpPr w:leftFromText="180" w:rightFromText="180" w:vertAnchor="page" w:horzAnchor="margin" w:tblpXSpec="center" w:tblpY="2333"/>
        <w:tblW w:w="8455" w:type="dxa"/>
        <w:tblLook w:val="04A0" w:firstRow="1" w:lastRow="0" w:firstColumn="1" w:lastColumn="0" w:noHBand="0" w:noVBand="1"/>
      </w:tblPr>
      <w:tblGrid>
        <w:gridCol w:w="698"/>
        <w:gridCol w:w="3980"/>
        <w:gridCol w:w="1259"/>
        <w:gridCol w:w="1295"/>
        <w:gridCol w:w="1223"/>
      </w:tblGrid>
      <w:tr w:rsidR="005F66E3" w:rsidRPr="00973E57" w14:paraId="2040085D" w14:textId="77777777" w:rsidTr="005F66E3">
        <w:trPr>
          <w:trHeight w:val="57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5AAD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73E5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7BE9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73E5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分项名称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9640C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报价（元/件）</w:t>
            </w:r>
          </w:p>
        </w:tc>
      </w:tr>
      <w:tr w:rsidR="005F66E3" w:rsidRPr="00973E57" w14:paraId="3A760E2E" w14:textId="77777777" w:rsidTr="005F66E3">
        <w:trPr>
          <w:trHeight w:val="31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8FC1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D340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2CEA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恒进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1826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永贵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4F7C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郑德成</w:t>
            </w:r>
          </w:p>
        </w:tc>
      </w:tr>
      <w:tr w:rsidR="005F66E3" w:rsidRPr="00973E57" w14:paraId="69825ECA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D526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F5DC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鼠笼式交流电动机/KW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D7B4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0BFB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137.2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4BC4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</w:tr>
      <w:tr w:rsidR="005F66E3" w:rsidRPr="00973E57" w14:paraId="16857D03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5B40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875C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绕线式交流电动机/KW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977B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3954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235.2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17DD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</w:tr>
      <w:tr w:rsidR="005F66E3" w:rsidRPr="00973E57" w14:paraId="351E5987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9C28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699E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直流电动机/KW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D05B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F380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568.4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3112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550</w:t>
            </w:r>
          </w:p>
        </w:tc>
      </w:tr>
      <w:tr w:rsidR="005F66E3" w:rsidRPr="00973E57" w14:paraId="35F71307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6FA6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2AD0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SY-80/90坡口机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62E6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332.5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FCA1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352.8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759E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</w:tr>
      <w:tr w:rsidR="005F66E3" w:rsidRPr="00973E57" w14:paraId="47017C72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CB35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9E05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ISE-80坡口机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29FD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332.5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B8A3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352.8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0402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</w:tr>
      <w:tr w:rsidR="005F66E3" w:rsidRPr="00973E57" w14:paraId="7B53122E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F257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ADAD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ISY-250坡口机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96EB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A3BF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78ED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720</w:t>
            </w:r>
          </w:p>
        </w:tc>
      </w:tr>
      <w:tr w:rsidR="005F66E3" w:rsidRPr="00973E57" w14:paraId="492CB210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791B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C72A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SY-160坡口机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859A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3BCA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7BDE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720</w:t>
            </w:r>
          </w:p>
        </w:tc>
      </w:tr>
      <w:tr w:rsidR="005F66E3" w:rsidRPr="00973E57" w14:paraId="7AFBC4B3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F56A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C908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GPP-159坡口机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3CD4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73D9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15B6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720</w:t>
            </w:r>
          </w:p>
        </w:tc>
      </w:tr>
      <w:tr w:rsidR="005F66E3" w:rsidRPr="00973E57" w14:paraId="408677E5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0236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9CC6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CP700-II手动液压泵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1287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7A2B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225.4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9525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</w:tr>
      <w:tr w:rsidR="005F66E3" w:rsidRPr="00973E57" w14:paraId="5859840E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62AA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B866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电动分离式液压千斤顶QF500T-200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F414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3087.5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77A3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3430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6FEC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3500</w:t>
            </w:r>
          </w:p>
        </w:tc>
      </w:tr>
      <w:tr w:rsidR="005F66E3" w:rsidRPr="00973E57" w14:paraId="62136207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E652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E4CF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电动分离式液压千斤顶QF320T-200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86FC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1976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2459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2450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4A05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2200</w:t>
            </w:r>
          </w:p>
        </w:tc>
      </w:tr>
      <w:tr w:rsidR="005F66E3" w:rsidRPr="00973E57" w14:paraId="214EBA9C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99EF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352C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电动分离式液压千斤顶QF200T-200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C089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1140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22CF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1274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D46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1250</w:t>
            </w:r>
          </w:p>
        </w:tc>
      </w:tr>
      <w:tr w:rsidR="005F66E3" w:rsidRPr="00973E57" w14:paraId="0D292735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C6F7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D8D4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电动分离式液压千斤顶QF100T-200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3AD2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6328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B957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650</w:t>
            </w:r>
          </w:p>
        </w:tc>
      </w:tr>
      <w:tr w:rsidR="005F66E3" w:rsidRPr="00973E57" w14:paraId="217D8A4A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E59B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64D7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手动分离式液压千斤顶RSC50T-50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7DEC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142.5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9D33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9EE4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</w:tr>
      <w:tr w:rsidR="005F66E3" w:rsidRPr="00973E57" w14:paraId="4755F7E8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FD37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19FE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手动分离式液压千斤顶RSC50T-100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1E82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142.5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372C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5393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</w:tr>
      <w:tr w:rsidR="005F66E3" w:rsidRPr="00973E57" w14:paraId="6A7694A0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6063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29F63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手动分离式液压千斤顶RSC100T-50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889B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94E0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24CD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</w:tr>
      <w:tr w:rsidR="005F66E3" w:rsidRPr="00973E57" w14:paraId="2C6B99E8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BB41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937E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手动分离式液压千斤顶RSC100T-100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0B4F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237.5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BAEF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1627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</w:tr>
      <w:tr w:rsidR="005F66E3" w:rsidRPr="00973E57" w14:paraId="23BFD4C5" w14:textId="77777777" w:rsidTr="005F66E3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148D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32B2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手动分离式液压千斤顶RSC100T-150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CFD3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A08D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2554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</w:tr>
      <w:tr w:rsidR="005F66E3" w:rsidRPr="00973E57" w14:paraId="6352E02F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4776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2EB2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电动油泵站BZ63-4/16-10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1850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1140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9101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1323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81F9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</w:tr>
      <w:tr w:rsidR="005F66E3" w:rsidRPr="00973E57" w14:paraId="3A5ABDFC" w14:textId="77777777" w:rsidTr="005F66E3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43C9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789F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现场服务/次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3650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332.5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9100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833E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>450</w:t>
            </w:r>
          </w:p>
        </w:tc>
      </w:tr>
      <w:tr w:rsidR="005F66E3" w:rsidRPr="00973E57" w14:paraId="5E1229CF" w14:textId="77777777" w:rsidTr="005F66E3">
        <w:trPr>
          <w:trHeight w:val="38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4BEE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CC11" w14:textId="77777777" w:rsidR="005F66E3" w:rsidRPr="00973E57" w:rsidRDefault="005F66E3" w:rsidP="005F66E3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综合单价合计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8384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12912.5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2289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15003.8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DBD3" w14:textId="77777777" w:rsidR="005F66E3" w:rsidRPr="00973E57" w:rsidRDefault="005F66E3" w:rsidP="005F66E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3E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14915</w:t>
            </w:r>
          </w:p>
        </w:tc>
      </w:tr>
    </w:tbl>
    <w:p w14:paraId="440D2B01" w14:textId="77777777" w:rsidR="005F66E3" w:rsidRPr="005F66E3" w:rsidRDefault="005F66E3" w:rsidP="005F66E3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</w:p>
    <w:sectPr w:rsidR="005F66E3" w:rsidRPr="005F66E3" w:rsidSect="00491EA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63D7" w14:textId="77777777" w:rsidR="0079522F" w:rsidRDefault="0079522F" w:rsidP="00517DC3">
      <w:r>
        <w:separator/>
      </w:r>
    </w:p>
  </w:endnote>
  <w:endnote w:type="continuationSeparator" w:id="0">
    <w:p w14:paraId="5CCF644B" w14:textId="77777777" w:rsidR="0079522F" w:rsidRDefault="0079522F" w:rsidP="0051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A90" w14:textId="77777777" w:rsidR="0082232E" w:rsidRPr="00FC609C" w:rsidRDefault="0082232E" w:rsidP="0082232E">
    <w:pPr>
      <w:pStyle w:val="a6"/>
      <w:framePr w:h="0" w:wrap="around" w:vAnchor="text" w:hAnchor="page" w:x="1642" w:y="-60"/>
      <w:ind w:rightChars="100" w:right="210" w:firstLineChars="50" w:firstLine="141"/>
      <w:rPr>
        <w:rStyle w:val="a8"/>
        <w:rFonts w:ascii="宋体" w:eastAsia="宋体" w:hAnsi="宋体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8"/>
        <w:rFonts w:ascii="宋体" w:eastAsia="宋体" w:hAnsi="宋体"/>
        <w:b/>
        <w:noProof/>
        <w:sz w:val="28"/>
        <w:szCs w:val="24"/>
      </w:rPr>
      <w:t>2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091E8B8A" w14:textId="77777777" w:rsidR="0082232E" w:rsidRDefault="00822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14EE" w14:textId="77777777" w:rsidR="0082232E" w:rsidRPr="00FC609C" w:rsidRDefault="0082232E" w:rsidP="0082232E">
    <w:pPr>
      <w:pStyle w:val="a6"/>
      <w:framePr w:h="0" w:wrap="around" w:vAnchor="text" w:hAnchor="margin" w:xAlign="outside" w:y="1"/>
      <w:ind w:rightChars="100" w:right="210"/>
      <w:rPr>
        <w:rStyle w:val="a8"/>
        <w:rFonts w:ascii="宋体" w:eastAsia="宋体" w:hAnsi="宋体"/>
        <w:b/>
        <w:sz w:val="28"/>
        <w:szCs w:val="24"/>
      </w:rPr>
    </w:pP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  <w:r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8"/>
        <w:rFonts w:ascii="宋体" w:eastAsia="宋体" w:hAnsi="宋体"/>
        <w:b/>
        <w:sz w:val="28"/>
        <w:szCs w:val="24"/>
      </w:rPr>
      <w:instrText xml:space="preserve">PAGE  </w:instrText>
    </w:r>
    <w:r w:rsidRPr="00FC609C">
      <w:rPr>
        <w:rFonts w:ascii="宋体" w:eastAsia="宋体" w:hAnsi="宋体"/>
        <w:b/>
        <w:sz w:val="28"/>
        <w:szCs w:val="24"/>
      </w:rPr>
      <w:fldChar w:fldCharType="separate"/>
    </w:r>
    <w:r w:rsidR="00471D5C">
      <w:rPr>
        <w:rStyle w:val="a8"/>
        <w:rFonts w:ascii="宋体" w:eastAsia="宋体" w:hAnsi="宋体"/>
        <w:b/>
        <w:noProof/>
        <w:sz w:val="28"/>
        <w:szCs w:val="24"/>
      </w:rPr>
      <w:t>1</w:t>
    </w:r>
    <w:r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8"/>
        <w:rFonts w:ascii="宋体" w:eastAsia="宋体" w:hAnsi="宋体" w:hint="eastAsia"/>
        <w:b/>
        <w:sz w:val="28"/>
        <w:szCs w:val="24"/>
      </w:rPr>
      <w:t>－</w:t>
    </w:r>
  </w:p>
  <w:p w14:paraId="252ECDB2" w14:textId="77777777" w:rsidR="0082232E" w:rsidRDefault="00822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817B" w14:textId="77777777" w:rsidR="0079522F" w:rsidRDefault="0079522F" w:rsidP="00517DC3">
      <w:r>
        <w:separator/>
      </w:r>
    </w:p>
  </w:footnote>
  <w:footnote w:type="continuationSeparator" w:id="0">
    <w:p w14:paraId="29F1C0F1" w14:textId="77777777" w:rsidR="0079522F" w:rsidRDefault="0079522F" w:rsidP="0051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53"/>
    <w:rsid w:val="0006353D"/>
    <w:rsid w:val="00071FBC"/>
    <w:rsid w:val="000D4D8A"/>
    <w:rsid w:val="001443D2"/>
    <w:rsid w:val="001763B7"/>
    <w:rsid w:val="00184685"/>
    <w:rsid w:val="001B49E4"/>
    <w:rsid w:val="00212F71"/>
    <w:rsid w:val="0025755D"/>
    <w:rsid w:val="00267B54"/>
    <w:rsid w:val="00273C3C"/>
    <w:rsid w:val="00274453"/>
    <w:rsid w:val="002841D7"/>
    <w:rsid w:val="002B62A9"/>
    <w:rsid w:val="002F2274"/>
    <w:rsid w:val="00335A48"/>
    <w:rsid w:val="00400BCD"/>
    <w:rsid w:val="00407B32"/>
    <w:rsid w:val="00424FA4"/>
    <w:rsid w:val="0042735E"/>
    <w:rsid w:val="00450657"/>
    <w:rsid w:val="00455CDB"/>
    <w:rsid w:val="00471D5C"/>
    <w:rsid w:val="00491EA2"/>
    <w:rsid w:val="004A79A1"/>
    <w:rsid w:val="004B075C"/>
    <w:rsid w:val="004F24D9"/>
    <w:rsid w:val="004F7CDB"/>
    <w:rsid w:val="00517DC3"/>
    <w:rsid w:val="00520B5A"/>
    <w:rsid w:val="00550632"/>
    <w:rsid w:val="0057188C"/>
    <w:rsid w:val="00580B99"/>
    <w:rsid w:val="005828D7"/>
    <w:rsid w:val="005843E2"/>
    <w:rsid w:val="005F66E3"/>
    <w:rsid w:val="0061751D"/>
    <w:rsid w:val="00622825"/>
    <w:rsid w:val="00626CA3"/>
    <w:rsid w:val="006453C9"/>
    <w:rsid w:val="0065602D"/>
    <w:rsid w:val="006B107A"/>
    <w:rsid w:val="006C1A09"/>
    <w:rsid w:val="00700915"/>
    <w:rsid w:val="00702224"/>
    <w:rsid w:val="00765C82"/>
    <w:rsid w:val="0077073E"/>
    <w:rsid w:val="0079522F"/>
    <w:rsid w:val="007D4DBD"/>
    <w:rsid w:val="008065EB"/>
    <w:rsid w:val="0082232E"/>
    <w:rsid w:val="008E1F4E"/>
    <w:rsid w:val="00901C29"/>
    <w:rsid w:val="00957268"/>
    <w:rsid w:val="009A3A90"/>
    <w:rsid w:val="009C19AC"/>
    <w:rsid w:val="009F1B69"/>
    <w:rsid w:val="00A56BE1"/>
    <w:rsid w:val="00AA297A"/>
    <w:rsid w:val="00AB38ED"/>
    <w:rsid w:val="00B0255B"/>
    <w:rsid w:val="00B37173"/>
    <w:rsid w:val="00BC6A76"/>
    <w:rsid w:val="00C41AD7"/>
    <w:rsid w:val="00C7151D"/>
    <w:rsid w:val="00C93632"/>
    <w:rsid w:val="00CC0712"/>
    <w:rsid w:val="00D26608"/>
    <w:rsid w:val="00D40838"/>
    <w:rsid w:val="00D93BC2"/>
    <w:rsid w:val="00DE30AE"/>
    <w:rsid w:val="00DE6974"/>
    <w:rsid w:val="00F806F3"/>
    <w:rsid w:val="00F80B36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D564C"/>
  <w15:chartTrackingRefBased/>
  <w15:docId w15:val="{3CB16471-5F98-45E0-BA32-384342E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7DC3"/>
    <w:rPr>
      <w:sz w:val="18"/>
      <w:szCs w:val="18"/>
    </w:rPr>
  </w:style>
  <w:style w:type="paragraph" w:styleId="a6">
    <w:name w:val="footer"/>
    <w:basedOn w:val="a"/>
    <w:link w:val="a7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7DC3"/>
    <w:rPr>
      <w:sz w:val="18"/>
      <w:szCs w:val="18"/>
    </w:rPr>
  </w:style>
  <w:style w:type="character" w:styleId="a8">
    <w:name w:val="page number"/>
    <w:basedOn w:val="a0"/>
    <w:rsid w:val="0082232E"/>
  </w:style>
  <w:style w:type="paragraph" w:styleId="a9">
    <w:name w:val="Date"/>
    <w:basedOn w:val="a"/>
    <w:next w:val="a"/>
    <w:link w:val="aa"/>
    <w:uiPriority w:val="99"/>
    <w:semiHidden/>
    <w:unhideWhenUsed/>
    <w:rsid w:val="00580B9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8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AD9205-1DB9-42FA-823A-A4380E43371C}"/>
</file>

<file path=customXml/itemProps2.xml><?xml version="1.0" encoding="utf-8"?>
<ds:datastoreItem xmlns:ds="http://schemas.openxmlformats.org/officeDocument/2006/customXml" ds:itemID="{55DA7ACC-98BC-40A1-9DEB-6952E37DC98B}"/>
</file>

<file path=customXml/itemProps3.xml><?xml version="1.0" encoding="utf-8"?>
<ds:datastoreItem xmlns:ds="http://schemas.openxmlformats.org/officeDocument/2006/customXml" ds:itemID="{BFC97F1F-FA01-4230-83E8-CB9C98A33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183</Words>
  <Characters>1044</Characters>
  <Application>Microsoft Office Word</Application>
  <DocSecurity>0</DocSecurity>
  <Lines>8</Lines>
  <Paragraphs>2</Paragraphs>
  <ScaleCrop>false</ScaleCrop>
  <Company>Sinopec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颖颖 葛</cp:lastModifiedBy>
  <cp:revision>19</cp:revision>
  <dcterms:created xsi:type="dcterms:W3CDTF">2022-07-21T07:40:00Z</dcterms:created>
  <dcterms:modified xsi:type="dcterms:W3CDTF">2023-12-19T07:44:00Z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