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28"/>
          <w:szCs w:val="28"/>
        </w:rPr>
      </w:pPr>
    </w:p>
    <w:p>
      <w:pPr>
        <w:snapToGrid w:val="0"/>
        <w:jc w:val="center"/>
        <w:rPr>
          <w:rFonts w:ascii="宋体" w:hAnsi="宋体"/>
          <w:b/>
          <w:sz w:val="28"/>
          <w:szCs w:val="28"/>
          <w:u w:val="single"/>
        </w:rPr>
      </w:pPr>
    </w:p>
    <w:p>
      <w:pPr>
        <w:snapToGrid w:val="0"/>
        <w:jc w:val="center"/>
        <w:rPr>
          <w:rFonts w:ascii="宋体" w:hAnsi="宋体"/>
          <w:b/>
          <w:sz w:val="28"/>
          <w:szCs w:val="28"/>
          <w:u w:val="single"/>
        </w:rPr>
      </w:pPr>
    </w:p>
    <w:p>
      <w:pPr>
        <w:snapToGrid w:val="0"/>
        <w:jc w:val="center"/>
        <w:rPr>
          <w:rFonts w:ascii="宋体" w:hAnsi="宋体"/>
          <w:b/>
          <w:color w:val="000000" w:themeColor="text1"/>
          <w:sz w:val="28"/>
          <w:szCs w:val="28"/>
        </w:rPr>
      </w:pPr>
    </w:p>
    <w:p>
      <w:pPr>
        <w:spacing w:line="240" w:lineRule="auto"/>
        <w:jc w:val="center"/>
        <w:rPr>
          <w:color w:val="000000" w:themeColor="text1"/>
          <w:sz w:val="52"/>
          <w:szCs w:val="52"/>
        </w:rPr>
      </w:pPr>
      <w:r>
        <w:rPr>
          <w:color w:val="000000" w:themeColor="text1"/>
          <w:sz w:val="52"/>
          <w:szCs w:val="52"/>
        </w:rPr>
        <w:t>公开招标</w:t>
      </w:r>
      <w:r>
        <w:rPr>
          <w:rFonts w:hint="eastAsia"/>
          <w:color w:val="000000" w:themeColor="text1"/>
          <w:sz w:val="52"/>
          <w:szCs w:val="52"/>
        </w:rPr>
        <w:t>采购文件</w:t>
      </w:r>
    </w:p>
    <w:p>
      <w:pPr>
        <w:rPr>
          <w:color w:val="000000" w:themeColor="text1"/>
          <w:sz w:val="32"/>
          <w:szCs w:val="32"/>
        </w:rPr>
      </w:pPr>
      <w:bookmarkStart w:id="0" w:name="_Toc511142013"/>
      <w:bookmarkStart w:id="1" w:name="_Toc511128621"/>
      <w:bookmarkStart w:id="2" w:name="_Toc511126349"/>
      <w:bookmarkStart w:id="3" w:name="_Toc511142727"/>
    </w:p>
    <w:p>
      <w:pPr>
        <w:ind w:firstLine="1285" w:firstLineChars="400"/>
        <w:jc w:val="left"/>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ind w:firstLine="1285" w:firstLineChars="400"/>
        <w:rPr>
          <w:b/>
          <w:color w:val="000000" w:themeColor="text1"/>
          <w:sz w:val="32"/>
          <w:szCs w:val="32"/>
        </w:rPr>
      </w:pPr>
    </w:p>
    <w:p>
      <w:pPr>
        <w:rPr>
          <w:b/>
          <w:color w:val="000000" w:themeColor="text1"/>
          <w:sz w:val="32"/>
          <w:szCs w:val="32"/>
        </w:rPr>
      </w:pPr>
    </w:p>
    <w:p>
      <w:pPr>
        <w:ind w:left="2570" w:hanging="2570" w:hangingChars="800"/>
        <w:rPr>
          <w:b/>
          <w:color w:val="000000" w:themeColor="text1"/>
          <w:sz w:val="32"/>
          <w:szCs w:val="32"/>
          <w:u w:val="single"/>
        </w:rPr>
      </w:pPr>
      <w:r>
        <w:rPr>
          <w:rFonts w:hint="eastAsia"/>
          <w:b/>
          <w:color w:val="000000" w:themeColor="text1"/>
          <w:sz w:val="32"/>
          <w:szCs w:val="32"/>
        </w:rPr>
        <w:t>采购项目名称：</w:t>
      </w:r>
      <w:bookmarkEnd w:id="0"/>
      <w:bookmarkEnd w:id="1"/>
      <w:bookmarkEnd w:id="2"/>
      <w:bookmarkEnd w:id="3"/>
      <w:r>
        <w:rPr>
          <w:rFonts w:hint="eastAsia"/>
          <w:b/>
          <w:color w:val="000000" w:themeColor="text1"/>
          <w:sz w:val="32"/>
          <w:szCs w:val="32"/>
          <w:lang w:val="en-US" w:eastAsia="zh-CN"/>
        </w:rPr>
        <w:t xml:space="preserve">  </w:t>
      </w:r>
      <w:r>
        <w:rPr>
          <w:rFonts w:hint="eastAsia" w:asciiTheme="minorEastAsia" w:hAnsiTheme="minorEastAsia" w:eastAsiaTheme="minorEastAsia"/>
          <w:b/>
          <w:color w:val="000000" w:themeColor="text1"/>
          <w:sz w:val="28"/>
          <w:szCs w:val="28"/>
          <w:u w:val="single"/>
        </w:rPr>
        <w:t>化机公司2022-2023年度土建、安装零星检维</w:t>
      </w:r>
      <w:r>
        <w:rPr>
          <w:rFonts w:hint="eastAsia" w:asciiTheme="minorEastAsia" w:hAnsiTheme="minorEastAsia" w:eastAsiaTheme="minorEastAsia"/>
          <w:b/>
          <w:bCs w:val="0"/>
          <w:color w:val="000000" w:themeColor="text1"/>
          <w:sz w:val="28"/>
          <w:szCs w:val="28"/>
          <w:u w:val="single"/>
        </w:rPr>
        <w:t>修项目</w:t>
      </w:r>
      <w:r>
        <w:rPr>
          <w:rFonts w:hint="eastAsia"/>
          <w:b w:val="0"/>
          <w:bCs/>
          <w:color w:val="000000" w:themeColor="text1"/>
          <w:sz w:val="32"/>
          <w:szCs w:val="32"/>
          <w:u w:val="single"/>
        </w:rPr>
        <w:t xml:space="preserve"> </w:t>
      </w:r>
    </w:p>
    <w:p>
      <w:pPr>
        <w:snapToGrid w:val="0"/>
        <w:jc w:val="left"/>
        <w:rPr>
          <w:color w:val="000000" w:themeColor="text1"/>
          <w:sz w:val="32"/>
          <w:szCs w:val="32"/>
          <w:u w:val="single"/>
        </w:rPr>
      </w:pPr>
    </w:p>
    <w:p>
      <w:pPr>
        <w:snapToGrid w:val="0"/>
        <w:rPr>
          <w:b/>
          <w:color w:val="000000" w:themeColor="text1"/>
          <w:sz w:val="32"/>
          <w:szCs w:val="32"/>
          <w:u w:val="single"/>
        </w:rPr>
      </w:pPr>
      <w:r>
        <w:rPr>
          <w:rFonts w:hint="eastAsia"/>
          <w:b/>
          <w:color w:val="000000" w:themeColor="text1"/>
          <w:sz w:val="32"/>
          <w:szCs w:val="32"/>
        </w:rPr>
        <w:t>采</w:t>
      </w:r>
      <w:r>
        <w:rPr>
          <w:rFonts w:hint="eastAsia"/>
          <w:b/>
          <w:color w:val="000000" w:themeColor="text1"/>
          <w:sz w:val="32"/>
          <w:szCs w:val="32"/>
          <w:lang w:val="en-US" w:eastAsia="zh-CN"/>
        </w:rPr>
        <w:t xml:space="preserve">   </w:t>
      </w:r>
      <w:r>
        <w:rPr>
          <w:rFonts w:hint="eastAsia"/>
          <w:b/>
          <w:color w:val="000000" w:themeColor="text1"/>
          <w:sz w:val="32"/>
          <w:szCs w:val="32"/>
        </w:rPr>
        <w:t>购</w:t>
      </w:r>
      <w:r>
        <w:rPr>
          <w:rFonts w:hint="eastAsia"/>
          <w:b/>
          <w:color w:val="000000" w:themeColor="text1"/>
          <w:sz w:val="32"/>
          <w:szCs w:val="32"/>
          <w:lang w:val="en-US" w:eastAsia="zh-CN"/>
        </w:rPr>
        <w:t xml:space="preserve">   </w:t>
      </w:r>
      <w:r>
        <w:rPr>
          <w:rFonts w:hint="eastAsia"/>
          <w:b/>
          <w:color w:val="000000" w:themeColor="text1"/>
          <w:sz w:val="32"/>
          <w:szCs w:val="32"/>
        </w:rPr>
        <w:t xml:space="preserve">人：  </w:t>
      </w:r>
      <w:r>
        <w:rPr>
          <w:rFonts w:hint="eastAsia" w:asciiTheme="minorEastAsia" w:hAnsiTheme="minorEastAsia" w:eastAsiaTheme="minorEastAsia"/>
          <w:b/>
          <w:color w:val="000000" w:themeColor="text1"/>
          <w:sz w:val="28"/>
          <w:szCs w:val="28"/>
          <w:u w:val="single"/>
        </w:rPr>
        <w:t xml:space="preserve">中石化南京化工机械有限公司 </w:t>
      </w:r>
    </w:p>
    <w:p>
      <w:pPr>
        <w:jc w:val="left"/>
        <w:rPr>
          <w:rFonts w:ascii="Calibri" w:hAnsi="Calibri"/>
          <w:color w:val="000000" w:themeColor="text1"/>
          <w:sz w:val="36"/>
          <w:szCs w:val="36"/>
        </w:rPr>
        <w:sectPr>
          <w:footerReference r:id="rId5" w:type="default"/>
          <w:pgSz w:w="11906" w:h="16838"/>
          <w:pgMar w:top="1440" w:right="1800" w:bottom="1440" w:left="1800" w:header="851" w:footer="992" w:gutter="0"/>
          <w:pgNumType w:fmt="upperRoman" w:start="1"/>
          <w:cols w:space="720" w:num="1"/>
          <w:docGrid w:linePitch="326" w:charSpace="0"/>
        </w:sectPr>
      </w:pPr>
      <w:r>
        <w:rPr>
          <w:rFonts w:hint="eastAsia" w:ascii="宋体" w:hAnsi="宋体"/>
          <w:b/>
          <w:color w:val="000000" w:themeColor="text1"/>
          <w:sz w:val="32"/>
          <w:szCs w:val="32"/>
        </w:rPr>
        <w:t>日</w:t>
      </w:r>
      <w:r>
        <w:rPr>
          <w:rFonts w:hint="eastAsia" w:ascii="宋体" w:hAnsi="宋体"/>
          <w:b/>
          <w:color w:val="000000" w:themeColor="text1"/>
          <w:sz w:val="32"/>
          <w:szCs w:val="32"/>
          <w:lang w:val="en-US" w:eastAsia="zh-CN"/>
        </w:rPr>
        <w:t xml:space="preserve">        </w:t>
      </w:r>
      <w:r>
        <w:rPr>
          <w:rFonts w:hint="eastAsia" w:ascii="宋体" w:hAnsi="宋体"/>
          <w:b/>
          <w:color w:val="000000" w:themeColor="text1"/>
          <w:sz w:val="32"/>
          <w:szCs w:val="32"/>
        </w:rPr>
        <w:t>期：</w:t>
      </w:r>
      <w:r>
        <w:rPr>
          <w:rFonts w:hint="eastAsia" w:ascii="宋体" w:hAnsi="宋体"/>
          <w:b/>
          <w:color w:val="000000" w:themeColor="text1"/>
          <w:sz w:val="32"/>
          <w:szCs w:val="32"/>
          <w:lang w:val="en-US" w:eastAsia="zh-CN"/>
        </w:rPr>
        <w:t xml:space="preserve">  </w:t>
      </w:r>
      <w:r>
        <w:rPr>
          <w:rFonts w:hint="eastAsia" w:ascii="宋体" w:hAnsi="宋体"/>
          <w:color w:val="000000" w:themeColor="text1"/>
          <w:sz w:val="32"/>
          <w:szCs w:val="32"/>
        </w:rPr>
        <w:t>2022</w:t>
      </w:r>
      <w:r>
        <w:rPr>
          <w:rFonts w:hint="eastAsia" w:ascii="宋体" w:hAnsi="宋体"/>
          <w:b/>
          <w:color w:val="000000" w:themeColor="text1"/>
          <w:sz w:val="32"/>
          <w:szCs w:val="32"/>
        </w:rPr>
        <w:t>年</w:t>
      </w:r>
      <w:r>
        <w:rPr>
          <w:rFonts w:hint="eastAsia" w:ascii="宋体" w:hAnsi="宋体"/>
          <w:color w:val="000000" w:themeColor="text1"/>
          <w:sz w:val="32"/>
          <w:szCs w:val="32"/>
        </w:rPr>
        <w:t>5</w:t>
      </w:r>
      <w:r>
        <w:rPr>
          <w:rFonts w:hint="eastAsia" w:ascii="宋体" w:hAnsi="宋体"/>
          <w:b/>
          <w:color w:val="000000" w:themeColor="text1"/>
          <w:sz w:val="32"/>
          <w:szCs w:val="32"/>
        </w:rPr>
        <w:t>月</w:t>
      </w:r>
      <w:r>
        <w:rPr>
          <w:rFonts w:hint="eastAsia" w:ascii="宋体" w:hAnsi="宋体"/>
          <w:color w:val="000000" w:themeColor="text1"/>
          <w:sz w:val="32"/>
          <w:szCs w:val="32"/>
        </w:rPr>
        <w:t>23</w:t>
      </w:r>
      <w:r>
        <w:rPr>
          <w:rFonts w:hint="eastAsia" w:ascii="宋体" w:hAnsi="宋体"/>
          <w:b/>
          <w:color w:val="000000" w:themeColor="text1"/>
          <w:sz w:val="32"/>
          <w:szCs w:val="32"/>
        </w:rPr>
        <w:t>日</w:t>
      </w:r>
    </w:p>
    <w:p>
      <w:pPr>
        <w:spacing w:line="600" w:lineRule="auto"/>
        <w:jc w:val="center"/>
        <w:rPr>
          <w:color w:val="000000" w:themeColor="text1"/>
        </w:rPr>
      </w:pPr>
      <w:r>
        <w:rPr>
          <w:rFonts w:hint="eastAsia" w:asciiTheme="minorEastAsia" w:hAnsiTheme="minorEastAsia" w:eastAsiaTheme="minorEastAsia"/>
          <w:b/>
          <w:bCs/>
          <w:color w:val="000000" w:themeColor="text1"/>
          <w:sz w:val="44"/>
          <w:szCs w:val="44"/>
        </w:rPr>
        <w:t>目    录</w:t>
      </w:r>
      <w:bookmarkStart w:id="4" w:name="_Toc144974479"/>
      <w:bookmarkStart w:id="5" w:name="_Toc152042287"/>
      <w:bookmarkStart w:id="6" w:name="_Toc152045511"/>
      <w:r>
        <w:rPr>
          <w:rStyle w:val="68"/>
          <w:rFonts w:asciiTheme="minorEastAsia" w:hAnsiTheme="minorEastAsia" w:eastAsiaTheme="minorEastAsia"/>
          <w:b/>
          <w:bCs/>
          <w:color w:val="000000" w:themeColor="text1"/>
        </w:rPr>
        <w:fldChar w:fldCharType="begin"/>
      </w:r>
      <w:r>
        <w:rPr>
          <w:rStyle w:val="68"/>
          <w:rFonts w:asciiTheme="minorEastAsia" w:hAnsiTheme="minorEastAsia" w:eastAsiaTheme="minorEastAsia"/>
          <w:color w:val="000000" w:themeColor="text1"/>
        </w:rPr>
        <w:instrText xml:space="preserve"> TOC \o "1-2" \h \z \u </w:instrText>
      </w:r>
      <w:r>
        <w:rPr>
          <w:rStyle w:val="68"/>
          <w:rFonts w:asciiTheme="minorEastAsia" w:hAnsiTheme="minorEastAsia" w:eastAsiaTheme="minorEastAsia"/>
          <w:b/>
          <w:bCs/>
          <w:color w:val="000000" w:themeColor="text1"/>
        </w:rPr>
        <w:fldChar w:fldCharType="separate"/>
      </w:r>
    </w:p>
    <w:p>
      <w:pPr>
        <w:pStyle w:val="42"/>
        <w:spacing w:line="600" w:lineRule="auto"/>
        <w:ind w:firstLine="0"/>
        <w:rPr>
          <w:rFonts w:asciiTheme="minorHAnsi" w:hAnsiTheme="minorHAnsi" w:cstheme="minorBidi"/>
          <w:b w:val="0"/>
          <w:bCs w:val="0"/>
          <w:caps w:val="0"/>
          <w:color w:val="000000" w:themeColor="text1"/>
          <w:kern w:val="2"/>
          <w:sz w:val="21"/>
          <w:szCs w:val="22"/>
        </w:rPr>
      </w:pPr>
    </w:p>
    <w:p>
      <w:pPr>
        <w:pStyle w:val="42"/>
        <w:spacing w:line="600" w:lineRule="auto"/>
        <w:rPr>
          <w:rFonts w:asciiTheme="minorHAnsi" w:hAnsiTheme="minorHAnsi" w:cstheme="minorBidi"/>
          <w:b w:val="0"/>
          <w:bCs w:val="0"/>
          <w:caps w:val="0"/>
          <w:color w:val="000000" w:themeColor="text1"/>
          <w:kern w:val="2"/>
          <w:sz w:val="21"/>
          <w:szCs w:val="22"/>
        </w:rPr>
      </w:pPr>
      <w:r>
        <w:fldChar w:fldCharType="begin"/>
      </w:r>
      <w:r>
        <w:instrText xml:space="preserve"> HYPERLINK \l "_Toc20642670" </w:instrText>
      </w:r>
      <w:r>
        <w:fldChar w:fldCharType="separate"/>
      </w:r>
      <w:r>
        <w:rPr>
          <w:rStyle w:val="68"/>
          <w:rFonts w:hint="eastAsia"/>
          <w:color w:val="000000" w:themeColor="text1"/>
        </w:rPr>
        <w:t>第一章</w:t>
      </w:r>
      <w:r>
        <w:rPr>
          <w:rStyle w:val="68"/>
          <w:color w:val="000000" w:themeColor="text1"/>
        </w:rPr>
        <w:t xml:space="preserve"> </w:t>
      </w:r>
      <w:r>
        <w:rPr>
          <w:rStyle w:val="68"/>
          <w:rFonts w:hint="eastAsia"/>
          <w:color w:val="000000" w:themeColor="text1"/>
        </w:rPr>
        <w:t>采购公告</w:t>
      </w:r>
      <w:r>
        <w:rPr>
          <w:color w:val="000000" w:themeColor="text1"/>
        </w:rPr>
        <w:tab/>
      </w:r>
      <w:r>
        <w:rPr>
          <w:rFonts w:hint="eastAsia"/>
          <w:color w:val="000000" w:themeColor="text1"/>
        </w:rPr>
        <w:t>1</w:t>
      </w:r>
      <w:r>
        <w:rPr>
          <w:rFonts w:hint="eastAsia"/>
          <w:color w:val="000000" w:themeColor="text1"/>
        </w:rPr>
        <w:fldChar w:fldCharType="end"/>
      </w:r>
    </w:p>
    <w:p>
      <w:pPr>
        <w:pStyle w:val="42"/>
        <w:spacing w:line="600" w:lineRule="auto"/>
        <w:ind w:firstLine="482"/>
        <w:rPr>
          <w:rFonts w:asciiTheme="minorHAnsi" w:hAnsiTheme="minorHAnsi" w:cstheme="minorBidi"/>
          <w:b w:val="0"/>
          <w:bCs w:val="0"/>
          <w:caps w:val="0"/>
          <w:color w:val="000000" w:themeColor="text1"/>
          <w:kern w:val="2"/>
          <w:sz w:val="21"/>
          <w:szCs w:val="22"/>
        </w:rPr>
      </w:pPr>
      <w:r>
        <w:fldChar w:fldCharType="begin"/>
      </w:r>
      <w:r>
        <w:instrText xml:space="preserve"> HYPERLINK \l "_Toc20642680" </w:instrText>
      </w:r>
      <w:r>
        <w:fldChar w:fldCharType="separate"/>
      </w:r>
      <w:r>
        <w:rPr>
          <w:rStyle w:val="68"/>
          <w:rFonts w:hint="eastAsia"/>
          <w:color w:val="000000" w:themeColor="text1"/>
        </w:rPr>
        <w:t>第二章</w:t>
      </w:r>
      <w:r>
        <w:rPr>
          <w:rStyle w:val="68"/>
          <w:color w:val="000000" w:themeColor="text1"/>
        </w:rPr>
        <w:t xml:space="preserve"> </w:t>
      </w:r>
      <w:r>
        <w:rPr>
          <w:rStyle w:val="68"/>
          <w:rFonts w:hint="eastAsia"/>
          <w:color w:val="000000" w:themeColor="text1"/>
        </w:rPr>
        <w:t>承包商须知</w:t>
      </w:r>
      <w:r>
        <w:rPr>
          <w:color w:val="000000" w:themeColor="text1"/>
        </w:rPr>
        <w:tab/>
      </w:r>
      <w:r>
        <w:rPr>
          <w:rFonts w:hint="eastAsia"/>
          <w:color w:val="000000" w:themeColor="text1"/>
        </w:rPr>
        <w:t>3</w:t>
      </w:r>
      <w:r>
        <w:rPr>
          <w:rFonts w:hint="eastAsia"/>
          <w:color w:val="000000" w:themeColor="text1"/>
        </w:rPr>
        <w:fldChar w:fldCharType="end"/>
      </w:r>
    </w:p>
    <w:p>
      <w:pPr>
        <w:pStyle w:val="42"/>
        <w:spacing w:line="600" w:lineRule="auto"/>
        <w:ind w:firstLine="482"/>
        <w:rPr>
          <w:rFonts w:asciiTheme="minorHAnsi" w:hAnsiTheme="minorHAnsi" w:cstheme="minorBidi"/>
          <w:b w:val="0"/>
          <w:bCs w:val="0"/>
          <w:caps w:val="0"/>
          <w:color w:val="000000" w:themeColor="text1"/>
          <w:kern w:val="2"/>
          <w:sz w:val="21"/>
          <w:szCs w:val="22"/>
        </w:rPr>
      </w:pPr>
      <w:r>
        <w:fldChar w:fldCharType="begin"/>
      </w:r>
      <w:r>
        <w:instrText xml:space="preserve"> HYPERLINK \l "_Toc20642698" </w:instrText>
      </w:r>
      <w:r>
        <w:fldChar w:fldCharType="separate"/>
      </w:r>
      <w:r>
        <w:rPr>
          <w:rStyle w:val="68"/>
          <w:rFonts w:hint="eastAsia"/>
          <w:color w:val="000000" w:themeColor="text1"/>
        </w:rPr>
        <w:t>第三章</w:t>
      </w:r>
      <w:r>
        <w:rPr>
          <w:rStyle w:val="68"/>
          <w:color w:val="000000" w:themeColor="text1"/>
        </w:rPr>
        <w:t xml:space="preserve"> </w:t>
      </w:r>
      <w:r>
        <w:rPr>
          <w:rStyle w:val="68"/>
          <w:rFonts w:hint="eastAsia"/>
          <w:color w:val="000000" w:themeColor="text1"/>
        </w:rPr>
        <w:t>报价说明</w:t>
      </w:r>
      <w:r>
        <w:rPr>
          <w:color w:val="000000" w:themeColor="text1"/>
        </w:rPr>
        <w:tab/>
      </w:r>
      <w:r>
        <w:rPr>
          <w:rFonts w:hint="eastAsia"/>
          <w:color w:val="000000" w:themeColor="text1"/>
        </w:rPr>
        <w:t>14</w:t>
      </w:r>
      <w:r>
        <w:rPr>
          <w:rFonts w:hint="eastAsia"/>
          <w:color w:val="000000" w:themeColor="text1"/>
        </w:rPr>
        <w:fldChar w:fldCharType="end"/>
      </w:r>
    </w:p>
    <w:p>
      <w:pPr>
        <w:pStyle w:val="42"/>
        <w:spacing w:line="600" w:lineRule="auto"/>
        <w:ind w:firstLine="482"/>
        <w:rPr>
          <w:rFonts w:asciiTheme="minorHAnsi" w:hAnsiTheme="minorHAnsi" w:cstheme="minorBidi"/>
          <w:b w:val="0"/>
          <w:bCs w:val="0"/>
          <w:caps w:val="0"/>
          <w:color w:val="000000" w:themeColor="text1"/>
          <w:kern w:val="2"/>
          <w:sz w:val="21"/>
          <w:szCs w:val="22"/>
        </w:rPr>
      </w:pPr>
      <w:r>
        <w:fldChar w:fldCharType="begin"/>
      </w:r>
      <w:r>
        <w:instrText xml:space="preserve"> HYPERLINK \l "_Toc20642699" </w:instrText>
      </w:r>
      <w:r>
        <w:fldChar w:fldCharType="separate"/>
      </w:r>
      <w:r>
        <w:rPr>
          <w:rStyle w:val="68"/>
          <w:rFonts w:hint="eastAsia"/>
          <w:color w:val="000000" w:themeColor="text1"/>
        </w:rPr>
        <w:t>第四章</w:t>
      </w:r>
      <w:r>
        <w:rPr>
          <w:rStyle w:val="68"/>
          <w:color w:val="000000" w:themeColor="text1"/>
        </w:rPr>
        <w:t xml:space="preserve"> </w:t>
      </w:r>
      <w:r>
        <w:rPr>
          <w:rStyle w:val="68"/>
          <w:rFonts w:hint="eastAsia"/>
          <w:color w:val="000000" w:themeColor="text1"/>
        </w:rPr>
        <w:t>评审办法</w:t>
      </w:r>
      <w:r>
        <w:rPr>
          <w:color w:val="000000" w:themeColor="text1"/>
        </w:rPr>
        <w:tab/>
      </w:r>
      <w:r>
        <w:rPr>
          <w:rFonts w:hint="eastAsia"/>
          <w:color w:val="000000" w:themeColor="text1"/>
        </w:rPr>
        <w:t>31</w:t>
      </w:r>
      <w:r>
        <w:rPr>
          <w:rFonts w:hint="eastAsia"/>
          <w:color w:val="000000" w:themeColor="text1"/>
        </w:rPr>
        <w:fldChar w:fldCharType="end"/>
      </w:r>
    </w:p>
    <w:p>
      <w:pPr>
        <w:pStyle w:val="42"/>
        <w:spacing w:line="600" w:lineRule="auto"/>
        <w:ind w:firstLine="482"/>
        <w:rPr>
          <w:rFonts w:asciiTheme="minorHAnsi" w:hAnsiTheme="minorHAnsi" w:cstheme="minorBidi"/>
          <w:b w:val="0"/>
          <w:bCs w:val="0"/>
          <w:caps w:val="0"/>
          <w:color w:val="000000" w:themeColor="text1"/>
          <w:kern w:val="2"/>
          <w:sz w:val="21"/>
          <w:szCs w:val="22"/>
        </w:rPr>
      </w:pPr>
      <w:r>
        <w:fldChar w:fldCharType="begin"/>
      </w:r>
      <w:r>
        <w:instrText xml:space="preserve"> HYPERLINK \l "_Toc20642713" </w:instrText>
      </w:r>
      <w:r>
        <w:fldChar w:fldCharType="separate"/>
      </w:r>
      <w:r>
        <w:rPr>
          <w:rStyle w:val="68"/>
          <w:rFonts w:hint="eastAsia"/>
          <w:color w:val="000000" w:themeColor="text1"/>
        </w:rPr>
        <w:t>第五章</w:t>
      </w:r>
      <w:r>
        <w:rPr>
          <w:rStyle w:val="68"/>
          <w:color w:val="000000" w:themeColor="text1"/>
        </w:rPr>
        <w:t xml:space="preserve"> </w:t>
      </w:r>
      <w:r>
        <w:rPr>
          <w:rStyle w:val="68"/>
          <w:rFonts w:hint="eastAsia"/>
          <w:color w:val="000000" w:themeColor="text1"/>
        </w:rPr>
        <w:t>合同条款</w:t>
      </w:r>
      <w:r>
        <w:rPr>
          <w:color w:val="000000" w:themeColor="text1"/>
        </w:rPr>
        <w:tab/>
      </w:r>
      <w:r>
        <w:rPr>
          <w:rFonts w:hint="eastAsia"/>
          <w:color w:val="000000" w:themeColor="text1"/>
        </w:rPr>
        <w:t>39</w:t>
      </w:r>
      <w:r>
        <w:rPr>
          <w:rFonts w:hint="eastAsia"/>
          <w:color w:val="000000" w:themeColor="text1"/>
        </w:rPr>
        <w:fldChar w:fldCharType="end"/>
      </w:r>
    </w:p>
    <w:p>
      <w:pPr>
        <w:pStyle w:val="42"/>
        <w:spacing w:line="600" w:lineRule="auto"/>
        <w:ind w:firstLine="482"/>
        <w:rPr>
          <w:rFonts w:asciiTheme="minorHAnsi" w:hAnsiTheme="minorHAnsi" w:cstheme="minorBidi"/>
          <w:b w:val="0"/>
          <w:bCs w:val="0"/>
          <w:caps w:val="0"/>
          <w:color w:val="000000" w:themeColor="text1"/>
          <w:kern w:val="2"/>
          <w:sz w:val="21"/>
          <w:szCs w:val="22"/>
        </w:rPr>
      </w:pPr>
      <w:r>
        <w:fldChar w:fldCharType="begin"/>
      </w:r>
      <w:r>
        <w:instrText xml:space="preserve"> HYPERLINK \l "_Toc20642714" </w:instrText>
      </w:r>
      <w:r>
        <w:fldChar w:fldCharType="separate"/>
      </w:r>
      <w:r>
        <w:rPr>
          <w:rStyle w:val="68"/>
          <w:rFonts w:hint="eastAsia"/>
          <w:color w:val="000000" w:themeColor="text1"/>
        </w:rPr>
        <w:t>第六章</w:t>
      </w:r>
      <w:r>
        <w:rPr>
          <w:rStyle w:val="68"/>
          <w:color w:val="000000" w:themeColor="text1"/>
        </w:rPr>
        <w:t xml:space="preserve"> </w:t>
      </w:r>
      <w:r>
        <w:rPr>
          <w:rStyle w:val="68"/>
          <w:rFonts w:hint="eastAsia"/>
          <w:color w:val="000000" w:themeColor="text1"/>
        </w:rPr>
        <w:t>采购需求</w:t>
      </w:r>
      <w:r>
        <w:rPr>
          <w:color w:val="000000" w:themeColor="text1"/>
        </w:rPr>
        <w:tab/>
      </w:r>
      <w:r>
        <w:rPr>
          <w:rFonts w:hint="eastAsia"/>
          <w:color w:val="000000" w:themeColor="text1"/>
        </w:rPr>
        <w:t>50</w:t>
      </w:r>
      <w:r>
        <w:rPr>
          <w:rFonts w:hint="eastAsia"/>
          <w:color w:val="000000" w:themeColor="text1"/>
        </w:rPr>
        <w:fldChar w:fldCharType="end"/>
      </w:r>
    </w:p>
    <w:p>
      <w:pPr>
        <w:pStyle w:val="42"/>
        <w:spacing w:line="600" w:lineRule="auto"/>
        <w:ind w:firstLine="482"/>
        <w:rPr>
          <w:rFonts w:asciiTheme="minorHAnsi" w:hAnsiTheme="minorHAnsi" w:cstheme="minorBidi"/>
          <w:b w:val="0"/>
          <w:bCs w:val="0"/>
          <w:caps w:val="0"/>
          <w:color w:val="000000" w:themeColor="text1"/>
          <w:kern w:val="2"/>
          <w:sz w:val="21"/>
          <w:szCs w:val="22"/>
        </w:rPr>
      </w:pPr>
      <w:r>
        <w:fldChar w:fldCharType="begin"/>
      </w:r>
      <w:r>
        <w:instrText xml:space="preserve"> HYPERLINK \l "_Toc20642715" </w:instrText>
      </w:r>
      <w:r>
        <w:fldChar w:fldCharType="separate"/>
      </w:r>
      <w:r>
        <w:rPr>
          <w:rStyle w:val="68"/>
          <w:rFonts w:hint="eastAsia"/>
          <w:color w:val="000000" w:themeColor="text1"/>
        </w:rPr>
        <w:t>第七章</w:t>
      </w:r>
      <w:r>
        <w:rPr>
          <w:rStyle w:val="68"/>
          <w:color w:val="000000" w:themeColor="text1"/>
        </w:rPr>
        <w:t xml:space="preserve"> </w:t>
      </w:r>
      <w:r>
        <w:rPr>
          <w:rStyle w:val="68"/>
          <w:rFonts w:hint="eastAsia"/>
          <w:color w:val="000000" w:themeColor="text1"/>
        </w:rPr>
        <w:t>响应文件格式</w:t>
      </w:r>
      <w:r>
        <w:rPr>
          <w:color w:val="000000" w:themeColor="text1"/>
        </w:rPr>
        <w:tab/>
      </w:r>
      <w:r>
        <w:rPr>
          <w:rFonts w:hint="eastAsia"/>
          <w:color w:val="000000" w:themeColor="text1"/>
        </w:rPr>
        <w:t>58</w:t>
      </w:r>
      <w:r>
        <w:rPr>
          <w:rFonts w:hint="eastAsia"/>
          <w:color w:val="000000" w:themeColor="text1"/>
        </w:rPr>
        <w:fldChar w:fldCharType="end"/>
      </w:r>
    </w:p>
    <w:p>
      <w:pPr>
        <w:pStyle w:val="42"/>
        <w:spacing w:line="600" w:lineRule="auto"/>
        <w:rPr>
          <w:color w:val="000000" w:themeColor="text1"/>
        </w:rPr>
        <w:sectPr>
          <w:pgSz w:w="11906" w:h="16838"/>
          <w:pgMar w:top="1418" w:right="1418" w:bottom="1418" w:left="1418" w:header="851" w:footer="992" w:gutter="0"/>
          <w:pgNumType w:fmt="upperRoman" w:start="1"/>
          <w:cols w:space="720" w:num="1"/>
          <w:docGrid w:linePitch="286" w:charSpace="0"/>
        </w:sectPr>
      </w:pPr>
      <w:r>
        <w:rPr>
          <w:rStyle w:val="68"/>
          <w:b w:val="0"/>
          <w:bCs w:val="0"/>
          <w:color w:val="000000" w:themeColor="text1"/>
        </w:rPr>
        <w:fldChar w:fldCharType="end"/>
      </w:r>
    </w:p>
    <w:bookmarkEnd w:id="4"/>
    <w:bookmarkEnd w:id="5"/>
    <w:bookmarkEnd w:id="6"/>
    <w:p>
      <w:pPr>
        <w:pStyle w:val="2"/>
        <w:spacing w:before="0" w:after="0" w:line="360" w:lineRule="auto"/>
        <w:ind w:right="84" w:rightChars="35"/>
        <w:rPr>
          <w:rFonts w:ascii="宋体" w:hAnsi="宋体"/>
          <w:bCs w:val="0"/>
          <w:color w:val="000000" w:themeColor="text1"/>
          <w:kern w:val="0"/>
          <w:sz w:val="32"/>
          <w:szCs w:val="32"/>
        </w:rPr>
      </w:pPr>
      <w:bookmarkStart w:id="7" w:name="_Toc20642670"/>
      <w:bookmarkStart w:id="8" w:name="_Toc402858982"/>
      <w:bookmarkStart w:id="9" w:name="OLE_LINK1"/>
      <w:bookmarkStart w:id="10" w:name="OLE_LINK2"/>
      <w:r>
        <w:rPr>
          <w:rFonts w:hint="eastAsia"/>
          <w:bCs w:val="0"/>
          <w:color w:val="000000" w:themeColor="text1"/>
          <w:sz w:val="32"/>
          <w:szCs w:val="32"/>
        </w:rPr>
        <w:t>第一章 采购</w:t>
      </w:r>
      <w:bookmarkEnd w:id="7"/>
      <w:r>
        <w:rPr>
          <w:rFonts w:hint="eastAsia"/>
          <w:bCs w:val="0"/>
          <w:color w:val="000000" w:themeColor="text1"/>
          <w:sz w:val="32"/>
          <w:szCs w:val="32"/>
        </w:rPr>
        <w:t>公告</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olor w:val="000000" w:themeColor="text1"/>
        </w:rPr>
      </w:pPr>
      <w:r>
        <w:rPr>
          <w:rFonts w:hint="eastAsia" w:ascii="宋体" w:hAnsi="宋体"/>
          <w:color w:val="000000" w:themeColor="text1"/>
        </w:rPr>
        <w:t>化机公司2022-2023年度土建、安装零星检维修项目</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olor w:val="000000" w:themeColor="text1"/>
        </w:rPr>
      </w:pPr>
      <w:r>
        <w:rPr>
          <w:rFonts w:hint="eastAsia" w:ascii="宋体" w:hAnsi="宋体"/>
          <w:color w:val="000000" w:themeColor="text1"/>
        </w:rPr>
        <w:t>采购公告</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bookmarkStart w:id="11" w:name="_Toc20642671"/>
      <w:bookmarkStart w:id="12" w:name="_Toc526793278"/>
    </w:p>
    <w:bookmarkEnd w:id="11"/>
    <w:bookmarkEnd w:id="12"/>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themeColor="text1"/>
        </w:rPr>
      </w:pPr>
      <w:bookmarkStart w:id="13" w:name="_Toc20642672"/>
      <w:r>
        <w:rPr>
          <w:rFonts w:hint="eastAsia" w:ascii="宋体" w:hAnsi="宋体"/>
          <w:color w:val="000000" w:themeColor="text1"/>
        </w:rPr>
        <w:t>中石化南京化工机械有限公司（以下简称化机公司）《2022-2023年度土建、安装零星检维修项目采购方案》已获审批，根据采购方案，现公布采购公告。</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1．采购</w:t>
      </w:r>
      <w:r>
        <w:rPr>
          <w:rFonts w:ascii="宋体" w:hAnsi="宋体"/>
          <w:color w:val="000000" w:themeColor="text1"/>
        </w:rPr>
        <w:t>项目概况</w:t>
      </w:r>
      <w:r>
        <w:rPr>
          <w:rFonts w:hint="eastAsia" w:ascii="宋体" w:hAnsi="宋体"/>
          <w:color w:val="000000" w:themeColor="text1"/>
        </w:rPr>
        <w:t>与采购范围</w:t>
      </w:r>
      <w:bookmarkEnd w:id="13"/>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w:t>
      </w:r>
      <w:r>
        <w:rPr>
          <w:rFonts w:ascii="宋体" w:hAnsi="宋体"/>
          <w:color w:val="000000" w:themeColor="text1"/>
        </w:rPr>
        <w:t>.1</w:t>
      </w:r>
      <w:r>
        <w:rPr>
          <w:rFonts w:hint="eastAsia" w:ascii="宋体" w:hAnsi="宋体"/>
          <w:color w:val="000000" w:themeColor="text1"/>
        </w:rPr>
        <w:t>工程</w:t>
      </w:r>
      <w:r>
        <w:rPr>
          <w:rFonts w:ascii="宋体" w:hAnsi="宋体"/>
          <w:color w:val="000000" w:themeColor="text1"/>
        </w:rPr>
        <w:t>名称</w:t>
      </w:r>
      <w:r>
        <w:rPr>
          <w:rFonts w:hint="eastAsia" w:ascii="宋体" w:hAnsi="宋体"/>
          <w:color w:val="000000" w:themeColor="text1"/>
        </w:rPr>
        <w:t>：化机公司2022-2023年度土建、安装零星检维修项目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w:t>
      </w:r>
      <w:r>
        <w:rPr>
          <w:rFonts w:ascii="宋体" w:hAnsi="宋体"/>
          <w:color w:val="000000" w:themeColor="text1"/>
        </w:rPr>
        <w:t>.2</w:t>
      </w:r>
      <w:r>
        <w:rPr>
          <w:rFonts w:hint="eastAsia" w:ascii="宋体" w:hAnsi="宋体"/>
          <w:color w:val="000000" w:themeColor="text1"/>
        </w:rPr>
        <w:t>建设</w:t>
      </w:r>
      <w:r>
        <w:rPr>
          <w:rFonts w:ascii="宋体" w:hAnsi="宋体"/>
          <w:color w:val="000000" w:themeColor="text1"/>
        </w:rPr>
        <w:t>地点：</w:t>
      </w:r>
      <w:r>
        <w:rPr>
          <w:rFonts w:hint="eastAsia" w:ascii="宋体" w:hAnsi="宋体"/>
          <w:color w:val="000000" w:themeColor="text1"/>
        </w:rPr>
        <w:t>南京市江北新区大厂街道姜桥1号。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3采购项目</w:t>
      </w:r>
      <w:r>
        <w:rPr>
          <w:rFonts w:ascii="宋体" w:hAnsi="宋体"/>
          <w:color w:val="000000" w:themeColor="text1"/>
        </w:rPr>
        <w:t>标段划分：</w:t>
      </w:r>
      <w:r>
        <w:rPr>
          <w:rFonts w:hint="eastAsia" w:ascii="宋体" w:hAnsi="宋体"/>
          <w:color w:val="000000" w:themeColor="text1"/>
        </w:rPr>
        <w:t>一个标段，该标段设两个中标单位，为第一中标人和第二中标人。第一中标人占年度费用70%左右，265万元/年，第二中标人占年度费用30%左右，115万元/年。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4标段</w:t>
      </w:r>
      <w:r>
        <w:rPr>
          <w:rFonts w:ascii="宋体" w:hAnsi="宋体"/>
          <w:color w:val="000000" w:themeColor="text1"/>
        </w:rPr>
        <w:t>合同估算</w:t>
      </w:r>
      <w:r>
        <w:rPr>
          <w:rFonts w:hint="eastAsia" w:ascii="宋体" w:hAnsi="宋体"/>
          <w:color w:val="000000" w:themeColor="text1"/>
        </w:rPr>
        <w:t>金额</w:t>
      </w:r>
      <w:r>
        <w:rPr>
          <w:rFonts w:ascii="宋体" w:hAnsi="宋体"/>
          <w:color w:val="000000" w:themeColor="text1"/>
        </w:rPr>
        <w:t>：</w:t>
      </w:r>
      <w:r>
        <w:rPr>
          <w:rFonts w:hint="eastAsia" w:ascii="宋体" w:hAnsi="宋体"/>
          <w:color w:val="000000" w:themeColor="text1"/>
        </w:rPr>
        <w:t>380万元/年（含税）。</w:t>
      </w:r>
      <w:r>
        <w:rPr>
          <w:rFonts w:ascii="宋体" w:hAnsi="宋体"/>
          <w:color w:val="000000" w:themeColor="text1"/>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5采购范围：化机公司在2022-2023年内对厂区内的厂房、办公楼及附属设施进行修缮，公共设施及构筑物修缮，动力设施及管道修缮等。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2．承包商资格要求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2</w:t>
      </w:r>
      <w:r>
        <w:rPr>
          <w:rFonts w:ascii="宋体" w:hAnsi="宋体"/>
          <w:color w:val="000000" w:themeColor="text1"/>
        </w:rPr>
        <w:t>.1</w:t>
      </w:r>
      <w:r>
        <w:rPr>
          <w:rFonts w:hint="eastAsia" w:ascii="宋体" w:hAnsi="宋体"/>
          <w:color w:val="000000" w:themeColor="text1"/>
        </w:rPr>
        <w:t>承包商应具备以下基本资格条件：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（1）建设行政主管部门核发的建筑工程施工总承包三级或以上资质证书；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（2）持有建设行政主管部门核发的有效安全生产许可证书；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（3）持有有效的质量管理、环境管理、职业健康安全管理体系认证证书；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2.2项目主要管理人员资格</w:t>
      </w:r>
      <w:r>
        <w:rPr>
          <w:rFonts w:ascii="宋体" w:hAnsi="宋体"/>
          <w:color w:val="000000" w:themeColor="text1"/>
        </w:rPr>
        <w:t>条件</w:t>
      </w:r>
      <w:r>
        <w:rPr>
          <w:rFonts w:hint="eastAsia" w:ascii="宋体" w:hAnsi="宋体"/>
          <w:color w:val="000000" w:themeColor="text1"/>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（1）</w:t>
      </w:r>
      <w:r>
        <w:rPr>
          <w:rFonts w:ascii="宋体" w:hAnsi="宋体"/>
          <w:color w:val="000000" w:themeColor="text1"/>
        </w:rPr>
        <w:t>项目</w:t>
      </w:r>
      <w:r>
        <w:rPr>
          <w:rFonts w:hint="eastAsia" w:ascii="宋体" w:hAnsi="宋体"/>
          <w:color w:val="000000" w:themeColor="text1"/>
        </w:rPr>
        <w:t>经理持有建筑工程专业二级或以上建造师注册证书（注册于承包商单位），持有建筑施工企业项目负责人安全生产考核合格证书.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w:t>
      </w:r>
      <w:r>
        <w:rPr>
          <w:rFonts w:ascii="宋体" w:hAnsi="宋体"/>
          <w:color w:val="000000" w:themeColor="text1"/>
        </w:rPr>
        <w:t>2</w:t>
      </w:r>
      <w:r>
        <w:rPr>
          <w:rFonts w:hint="eastAsia" w:ascii="宋体" w:hAnsi="宋体"/>
          <w:color w:val="000000" w:themeColor="text1"/>
        </w:rPr>
        <w:t>）安全负责人持有建筑施工企业专职安全生产管理人员安全生产考核合格证书。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3.报名要求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themeColor="text1"/>
        </w:rPr>
      </w:pPr>
      <w:r>
        <w:rPr>
          <w:rFonts w:hint="eastAsia" w:ascii="宋体" w:hAnsi="宋体"/>
          <w:color w:val="000000" w:themeColor="text1"/>
        </w:rPr>
        <w:t>请有意者且具备资质条件的承包商在采购公示满5日后持投标确认函与项目联系人进行联系，同时请提供营业执照、代理人身份证及授权委托书（法人参加不需提供），复印件应盖章。报名截止日期：采购公示满5日后24小时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themeColor="text1"/>
        </w:rPr>
      </w:pPr>
      <w:r>
        <w:rPr>
          <w:rFonts w:ascii="宋体" w:hAnsi="宋体"/>
          <w:color w:val="000000" w:themeColor="text1"/>
        </w:rPr>
        <w:t>联系人：</w:t>
      </w:r>
      <w:r>
        <w:rPr>
          <w:rFonts w:hint="eastAsia" w:ascii="宋体" w:hAnsi="宋体"/>
          <w:color w:val="000000" w:themeColor="text1"/>
        </w:rPr>
        <w:t>刘多多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themeColor="text1"/>
        </w:rPr>
      </w:pPr>
      <w:r>
        <w:rPr>
          <w:rFonts w:ascii="宋体" w:hAnsi="宋体"/>
          <w:color w:val="000000" w:themeColor="text1"/>
        </w:rPr>
        <w:t>电话：</w:t>
      </w:r>
      <w:r>
        <w:rPr>
          <w:rFonts w:hint="eastAsia" w:ascii="宋体" w:hAnsi="宋体"/>
          <w:color w:val="000000" w:themeColor="text1"/>
        </w:rPr>
        <w:t>13912979127</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p>
    <w:p>
      <w:pPr>
        <w:keepNext w:val="0"/>
        <w:keepLines w:val="0"/>
        <w:pageBreakBefore w:val="0"/>
        <w:widowControl w:val="0"/>
        <w:kinsoku/>
        <w:wordWrap/>
        <w:overflowPunct/>
        <w:topLinePunct w:val="0"/>
        <w:autoSpaceDE/>
        <w:autoSpaceDN/>
        <w:bidi w:val="0"/>
        <w:adjustRightInd/>
        <w:snapToGrid w:val="0"/>
        <w:spacing w:line="360" w:lineRule="auto"/>
        <w:ind w:firstLine="3960" w:firstLineChars="1650"/>
        <w:textAlignment w:val="auto"/>
        <w:rPr>
          <w:rFonts w:ascii="宋体" w:hAnsi="宋体"/>
          <w:color w:val="000000" w:themeColor="text1"/>
        </w:rPr>
      </w:pPr>
      <w:r>
        <w:rPr>
          <w:rFonts w:hint="eastAsia" w:ascii="宋体" w:hAnsi="宋体"/>
          <w:color w:val="000000" w:themeColor="text1"/>
        </w:rPr>
        <w:t>采购人：中石化南京化工机械有限公司</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r>
        <w:rPr>
          <w:rFonts w:hint="eastAsia" w:ascii="宋体" w:hAnsi="宋体"/>
          <w:color w:val="000000" w:themeColor="text1"/>
        </w:rPr>
        <w:t xml:space="preserve">                                           2022</w:t>
      </w:r>
      <w:r>
        <w:rPr>
          <w:rFonts w:ascii="宋体" w:hAnsi="宋体"/>
          <w:color w:val="000000" w:themeColor="text1"/>
        </w:rPr>
        <w:t>年</w:t>
      </w:r>
      <w:r>
        <w:rPr>
          <w:rFonts w:hint="eastAsia" w:ascii="宋体" w:hAnsi="宋体"/>
          <w:color w:val="000000" w:themeColor="text1"/>
        </w:rPr>
        <w:t>5</w:t>
      </w:r>
      <w:r>
        <w:rPr>
          <w:rFonts w:ascii="宋体" w:hAnsi="宋体"/>
          <w:color w:val="000000" w:themeColor="text1"/>
        </w:rPr>
        <w:t>月</w:t>
      </w:r>
      <w:r>
        <w:rPr>
          <w:rFonts w:hint="eastAsia" w:ascii="宋体" w:hAnsi="宋体"/>
          <w:color w:val="000000" w:themeColor="text1"/>
        </w:rPr>
        <w:t>23</w:t>
      </w:r>
      <w:bookmarkStart w:id="381" w:name="_GoBack"/>
      <w:bookmarkEnd w:id="381"/>
      <w:r>
        <w:rPr>
          <w:rFonts w:ascii="宋体" w:hAnsi="宋体"/>
          <w:color w:val="000000" w:themeColor="text1"/>
        </w:rPr>
        <w:t>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rPr>
      </w:pPr>
    </w:p>
    <w:p>
      <w:pPr>
        <w:snapToGrid w:val="0"/>
        <w:spacing w:line="240" w:lineRule="auto"/>
        <w:rPr>
          <w:rFonts w:ascii="宋体" w:hAnsi="宋体"/>
          <w:color w:val="000000" w:themeColor="text1"/>
          <w:sz w:val="21"/>
          <w:szCs w:val="21"/>
        </w:rPr>
      </w:pPr>
    </w:p>
    <w:p>
      <w:pPr>
        <w:rPr>
          <w:color w:val="000000" w:themeColor="text1"/>
        </w:rPr>
      </w:pPr>
    </w:p>
    <w:p>
      <w:pPr>
        <w:rPr>
          <w:color w:val="000000" w:themeColor="text1"/>
        </w:rPr>
      </w:pPr>
    </w:p>
    <w:p>
      <w:pPr>
        <w:rPr>
          <w:color w:val="000000" w:themeColor="text1"/>
        </w:rPr>
      </w:pPr>
    </w:p>
    <w:p>
      <w:pPr>
        <w:pStyle w:val="3"/>
        <w:pageBreakBefore/>
        <w:spacing w:afterLines="100"/>
        <w:rPr>
          <w:b w:val="0"/>
          <w:color w:val="000000" w:themeColor="text1"/>
        </w:rPr>
      </w:pPr>
      <w:bookmarkStart w:id="14" w:name="_Toc526793286"/>
      <w:bookmarkStart w:id="15" w:name="_Toc20642679"/>
      <w:r>
        <w:rPr>
          <w:b w:val="0"/>
          <w:color w:val="000000" w:themeColor="text1"/>
        </w:rPr>
        <w:t>附件：</w:t>
      </w:r>
      <w:r>
        <w:rPr>
          <w:rFonts w:hint="eastAsia"/>
          <w:b w:val="0"/>
          <w:color w:val="000000" w:themeColor="text1"/>
        </w:rPr>
        <w:t>投标参加确认函</w:t>
      </w:r>
      <w:bookmarkEnd w:id="14"/>
      <w:bookmarkEnd w:id="15"/>
    </w:p>
    <w:p>
      <w:pPr>
        <w:jc w:val="center"/>
        <w:rPr>
          <w:rFonts w:ascii="宋体" w:hAnsi="宋体"/>
          <w:color w:val="000000" w:themeColor="text1"/>
          <w:sz w:val="30"/>
          <w:szCs w:val="30"/>
        </w:rPr>
      </w:pPr>
      <w:r>
        <w:rPr>
          <w:rFonts w:hint="eastAsia" w:ascii="宋体" w:hAnsi="宋体"/>
          <w:b/>
          <w:color w:val="000000" w:themeColor="text1"/>
          <w:sz w:val="30"/>
          <w:szCs w:val="30"/>
        </w:rPr>
        <w:t>投标参加确认函</w:t>
      </w:r>
    </w:p>
    <w:p>
      <w:pPr>
        <w:rPr>
          <w:rFonts w:ascii="宋体" w:hAnsi="宋体"/>
          <w:color w:val="000000" w:themeColor="text1"/>
        </w:rPr>
      </w:pPr>
    </w:p>
    <w:p>
      <w:pPr>
        <w:rPr>
          <w:rFonts w:ascii="宋体" w:hAnsi="宋体"/>
          <w:color w:val="000000" w:themeColor="text1"/>
        </w:rPr>
      </w:pPr>
      <w:r>
        <w:rPr>
          <w:rFonts w:hint="eastAsia" w:ascii="宋体" w:hAnsi="宋体"/>
          <w:color w:val="000000" w:themeColor="text1"/>
        </w:rPr>
        <w:t>采购人</w:t>
      </w:r>
      <w:r>
        <w:rPr>
          <w:rFonts w:ascii="宋体" w:hAnsi="宋体"/>
          <w:color w:val="000000" w:themeColor="text1"/>
        </w:rPr>
        <w:t>：</w:t>
      </w:r>
      <w:r>
        <w:rPr>
          <w:rFonts w:hint="eastAsia" w:ascii="宋体" w:hAnsi="宋体"/>
          <w:color w:val="000000" w:themeColor="text1"/>
        </w:rPr>
        <w:t>中石化南京化工机械有限公司</w:t>
      </w:r>
    </w:p>
    <w:p>
      <w:pPr>
        <w:rPr>
          <w:rFonts w:ascii="宋体" w:hAnsi="宋体"/>
          <w:color w:val="000000" w:themeColor="text1"/>
        </w:rPr>
      </w:pPr>
    </w:p>
    <w:p>
      <w:pPr>
        <w:adjustRightInd w:val="0"/>
        <w:snapToGrid w:val="0"/>
        <w:ind w:firstLine="520" w:firstLineChars="217"/>
        <w:jc w:val="left"/>
        <w:rPr>
          <w:rFonts w:ascii="宋体" w:hAnsi="宋体"/>
          <w:color w:val="000000" w:themeColor="text1"/>
        </w:rPr>
      </w:pPr>
      <w:r>
        <w:rPr>
          <w:rFonts w:hAnsi="宋体"/>
          <w:bCs/>
          <w:color w:val="000000" w:themeColor="text1"/>
        </w:rPr>
        <w:t>我</w:t>
      </w:r>
      <w:r>
        <w:rPr>
          <w:rFonts w:hint="eastAsia" w:hAnsi="宋体"/>
          <w:bCs/>
          <w:color w:val="000000" w:themeColor="text1"/>
        </w:rPr>
        <w:t>方</w:t>
      </w:r>
      <w:r>
        <w:rPr>
          <w:rFonts w:hAnsi="宋体"/>
          <w:bCs/>
          <w:color w:val="000000" w:themeColor="text1"/>
        </w:rPr>
        <w:t>已</w:t>
      </w:r>
      <w:r>
        <w:rPr>
          <w:rFonts w:hint="eastAsia" w:hAnsi="宋体"/>
          <w:bCs/>
          <w:color w:val="000000" w:themeColor="text1"/>
        </w:rPr>
        <w:t>知晓你方于</w:t>
      </w:r>
      <w:r>
        <w:rPr>
          <w:rFonts w:hint="eastAsia" w:asciiTheme="minorEastAsia" w:hAnsiTheme="minorEastAsia" w:eastAsiaTheme="minorEastAsia"/>
          <w:bCs/>
          <w:color w:val="000000" w:themeColor="text1"/>
        </w:rPr>
        <w:t>2022</w:t>
      </w:r>
      <w:r>
        <w:rPr>
          <w:rFonts w:hint="eastAsia" w:ascii="宋体" w:hAnsi="宋体"/>
          <w:color w:val="000000" w:themeColor="text1"/>
        </w:rPr>
        <w:t>年5月23日发出的《</w:t>
      </w:r>
      <w:r>
        <w:rPr>
          <w:rFonts w:hint="eastAsia" w:hAnsi="宋体"/>
          <w:bCs/>
          <w:color w:val="000000" w:themeColor="text1"/>
        </w:rPr>
        <w:t>化机公司2022-2023年度土建、安装零星检维修项目</w:t>
      </w:r>
      <w:r>
        <w:rPr>
          <w:rFonts w:hint="eastAsia" w:asciiTheme="minorEastAsia" w:hAnsiTheme="minorEastAsia" w:eastAsiaTheme="minorEastAsia"/>
          <w:bCs/>
          <w:color w:val="000000" w:themeColor="text1"/>
        </w:rPr>
        <w:t>采购公告</w:t>
      </w:r>
      <w:r>
        <w:rPr>
          <w:rFonts w:hint="eastAsia" w:ascii="宋体" w:hAnsi="宋体"/>
          <w:color w:val="000000" w:themeColor="text1"/>
        </w:rPr>
        <w:t>》</w:t>
      </w:r>
      <w:r>
        <w:rPr>
          <w:rFonts w:hint="eastAsia" w:hAnsi="宋体"/>
          <w:bCs/>
          <w:color w:val="000000" w:themeColor="text1"/>
        </w:rPr>
        <w:t>，</w:t>
      </w:r>
      <w:r>
        <w:rPr>
          <w:rFonts w:hint="eastAsia" w:hAnsi="宋体"/>
          <w:color w:val="000000" w:themeColor="text1"/>
        </w:rPr>
        <w:t>确认参加投标</w:t>
      </w:r>
      <w:r>
        <w:rPr>
          <w:rFonts w:hint="eastAsia" w:ascii="宋体" w:hAnsi="宋体"/>
          <w:color w:val="000000" w:themeColor="text1"/>
        </w:rPr>
        <w:t>。</w:t>
      </w:r>
    </w:p>
    <w:p>
      <w:pPr>
        <w:ind w:firstLine="480" w:firstLineChars="200"/>
        <w:rPr>
          <w:rFonts w:ascii="宋体" w:hAnsi="宋体"/>
          <w:color w:val="000000" w:themeColor="text1"/>
        </w:rPr>
      </w:pPr>
      <w:r>
        <w:rPr>
          <w:rFonts w:ascii="宋体" w:hAnsi="宋体"/>
          <w:color w:val="000000" w:themeColor="text1"/>
        </w:rPr>
        <w:t>我</w:t>
      </w:r>
      <w:r>
        <w:rPr>
          <w:rFonts w:hint="eastAsia" w:ascii="宋体" w:hAnsi="宋体"/>
          <w:color w:val="000000" w:themeColor="text1"/>
        </w:rPr>
        <w:t>方</w:t>
      </w:r>
      <w:r>
        <w:rPr>
          <w:rFonts w:ascii="宋体" w:hAnsi="宋体"/>
          <w:color w:val="000000" w:themeColor="text1"/>
        </w:rPr>
        <w:t>联系人信息如下：</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220"/>
        <w:gridCol w:w="1561"/>
        <w:gridCol w:w="651"/>
        <w:gridCol w:w="651"/>
        <w:gridCol w:w="1171"/>
        <w:gridCol w:w="116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restart"/>
            <w:vAlign w:val="center"/>
          </w:tcPr>
          <w:p>
            <w:pPr>
              <w:spacing w:line="240" w:lineRule="auto"/>
              <w:jc w:val="center"/>
              <w:rPr>
                <w:color w:val="000000" w:themeColor="text1"/>
                <w:sz w:val="21"/>
                <w:szCs w:val="21"/>
              </w:rPr>
            </w:pPr>
            <w:r>
              <w:rPr>
                <w:color w:val="000000" w:themeColor="text1"/>
                <w:sz w:val="21"/>
                <w:szCs w:val="21"/>
              </w:rPr>
              <w:t>联系人</w:t>
            </w:r>
          </w:p>
        </w:tc>
        <w:tc>
          <w:tcPr>
            <w:tcW w:w="716" w:type="pct"/>
            <w:vAlign w:val="center"/>
          </w:tcPr>
          <w:p>
            <w:pPr>
              <w:spacing w:line="240" w:lineRule="auto"/>
              <w:jc w:val="left"/>
              <w:rPr>
                <w:color w:val="000000" w:themeColor="text1"/>
                <w:sz w:val="21"/>
                <w:szCs w:val="21"/>
              </w:rPr>
            </w:pPr>
            <w:r>
              <w:rPr>
                <w:color w:val="000000" w:themeColor="text1"/>
                <w:sz w:val="21"/>
                <w:szCs w:val="21"/>
              </w:rPr>
              <w:t>姓名</w:t>
            </w:r>
          </w:p>
        </w:tc>
        <w:tc>
          <w:tcPr>
            <w:tcW w:w="916" w:type="pct"/>
            <w:vAlign w:val="center"/>
          </w:tcPr>
          <w:p>
            <w:pPr>
              <w:spacing w:line="240" w:lineRule="auto"/>
              <w:rPr>
                <w:color w:val="000000" w:themeColor="text1"/>
                <w:sz w:val="21"/>
                <w:szCs w:val="21"/>
              </w:rPr>
            </w:pPr>
          </w:p>
        </w:tc>
        <w:tc>
          <w:tcPr>
            <w:tcW w:w="382" w:type="pct"/>
            <w:vAlign w:val="center"/>
          </w:tcPr>
          <w:p>
            <w:pPr>
              <w:spacing w:line="240" w:lineRule="auto"/>
              <w:jc w:val="center"/>
              <w:rPr>
                <w:color w:val="000000" w:themeColor="text1"/>
                <w:sz w:val="21"/>
                <w:szCs w:val="21"/>
              </w:rPr>
            </w:pPr>
            <w:r>
              <w:rPr>
                <w:color w:val="000000" w:themeColor="text1"/>
                <w:sz w:val="21"/>
                <w:szCs w:val="21"/>
              </w:rPr>
              <w:t>性别</w:t>
            </w:r>
          </w:p>
        </w:tc>
        <w:tc>
          <w:tcPr>
            <w:tcW w:w="382" w:type="pct"/>
            <w:vAlign w:val="center"/>
          </w:tcPr>
          <w:p>
            <w:pPr>
              <w:spacing w:line="240" w:lineRule="auto"/>
              <w:jc w:val="center"/>
              <w:rPr>
                <w:color w:val="000000" w:themeColor="text1"/>
                <w:sz w:val="21"/>
                <w:szCs w:val="21"/>
              </w:rPr>
            </w:pPr>
          </w:p>
        </w:tc>
        <w:tc>
          <w:tcPr>
            <w:tcW w:w="687" w:type="pct"/>
            <w:vAlign w:val="center"/>
          </w:tcPr>
          <w:p>
            <w:pPr>
              <w:spacing w:line="240" w:lineRule="auto"/>
              <w:jc w:val="center"/>
              <w:rPr>
                <w:color w:val="000000" w:themeColor="text1"/>
                <w:sz w:val="21"/>
                <w:szCs w:val="21"/>
              </w:rPr>
            </w:pPr>
            <w:r>
              <w:rPr>
                <w:color w:val="000000" w:themeColor="text1"/>
                <w:sz w:val="21"/>
                <w:szCs w:val="21"/>
              </w:rPr>
              <w:t>移动电话</w:t>
            </w:r>
          </w:p>
        </w:tc>
        <w:tc>
          <w:tcPr>
            <w:tcW w:w="1354" w:type="pct"/>
            <w:gridSpan w:val="2"/>
            <w:vAlign w:val="center"/>
          </w:tcPr>
          <w:p>
            <w:pPr>
              <w:spacing w:line="240" w:lineRule="auto"/>
              <w:jc w:val="center"/>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continue"/>
            <w:vAlign w:val="center"/>
          </w:tcPr>
          <w:p>
            <w:pPr>
              <w:spacing w:line="240" w:lineRule="auto"/>
              <w:rPr>
                <w:color w:val="000000" w:themeColor="text1"/>
                <w:sz w:val="21"/>
                <w:szCs w:val="21"/>
              </w:rPr>
            </w:pPr>
          </w:p>
        </w:tc>
        <w:tc>
          <w:tcPr>
            <w:tcW w:w="716" w:type="pct"/>
            <w:vAlign w:val="center"/>
          </w:tcPr>
          <w:p>
            <w:pPr>
              <w:spacing w:line="240" w:lineRule="auto"/>
              <w:jc w:val="left"/>
              <w:rPr>
                <w:color w:val="000000" w:themeColor="text1"/>
                <w:sz w:val="21"/>
                <w:szCs w:val="21"/>
              </w:rPr>
            </w:pPr>
            <w:r>
              <w:rPr>
                <w:color w:val="000000" w:themeColor="text1"/>
                <w:sz w:val="21"/>
                <w:szCs w:val="21"/>
              </w:rPr>
              <w:t>工作部门</w:t>
            </w:r>
          </w:p>
        </w:tc>
        <w:tc>
          <w:tcPr>
            <w:tcW w:w="1298" w:type="pct"/>
            <w:gridSpan w:val="2"/>
            <w:vAlign w:val="center"/>
          </w:tcPr>
          <w:p>
            <w:pPr>
              <w:spacing w:line="240" w:lineRule="auto"/>
              <w:jc w:val="center"/>
              <w:rPr>
                <w:color w:val="000000" w:themeColor="text1"/>
                <w:sz w:val="21"/>
                <w:szCs w:val="21"/>
              </w:rPr>
            </w:pPr>
          </w:p>
        </w:tc>
        <w:tc>
          <w:tcPr>
            <w:tcW w:w="382" w:type="pct"/>
            <w:vAlign w:val="center"/>
          </w:tcPr>
          <w:p>
            <w:pPr>
              <w:spacing w:line="240" w:lineRule="auto"/>
              <w:jc w:val="center"/>
              <w:rPr>
                <w:color w:val="000000" w:themeColor="text1"/>
                <w:sz w:val="21"/>
                <w:szCs w:val="21"/>
              </w:rPr>
            </w:pPr>
            <w:r>
              <w:rPr>
                <w:color w:val="000000" w:themeColor="text1"/>
                <w:sz w:val="21"/>
                <w:szCs w:val="21"/>
              </w:rPr>
              <w:t>职务</w:t>
            </w:r>
          </w:p>
        </w:tc>
        <w:tc>
          <w:tcPr>
            <w:tcW w:w="687" w:type="pct"/>
            <w:vAlign w:val="center"/>
          </w:tcPr>
          <w:p>
            <w:pPr>
              <w:spacing w:line="240" w:lineRule="auto"/>
              <w:jc w:val="center"/>
              <w:rPr>
                <w:color w:val="000000" w:themeColor="text1"/>
                <w:sz w:val="21"/>
                <w:szCs w:val="21"/>
              </w:rPr>
            </w:pPr>
          </w:p>
        </w:tc>
        <w:tc>
          <w:tcPr>
            <w:tcW w:w="686" w:type="pct"/>
            <w:vAlign w:val="center"/>
          </w:tcPr>
          <w:p>
            <w:pPr>
              <w:spacing w:line="240" w:lineRule="auto"/>
              <w:jc w:val="center"/>
              <w:rPr>
                <w:color w:val="000000" w:themeColor="text1"/>
                <w:sz w:val="21"/>
                <w:szCs w:val="21"/>
              </w:rPr>
            </w:pPr>
            <w:r>
              <w:rPr>
                <w:color w:val="000000" w:themeColor="text1"/>
                <w:sz w:val="21"/>
                <w:szCs w:val="21"/>
              </w:rPr>
              <w:t>固定电话</w:t>
            </w:r>
          </w:p>
        </w:tc>
        <w:tc>
          <w:tcPr>
            <w:tcW w:w="668" w:type="pct"/>
            <w:vAlign w:val="center"/>
          </w:tcPr>
          <w:p>
            <w:pPr>
              <w:spacing w:line="240" w:lineRule="auto"/>
              <w:jc w:val="center"/>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continue"/>
            <w:vAlign w:val="center"/>
          </w:tcPr>
          <w:p>
            <w:pPr>
              <w:spacing w:line="240" w:lineRule="auto"/>
              <w:rPr>
                <w:color w:val="000000" w:themeColor="text1"/>
                <w:sz w:val="21"/>
                <w:szCs w:val="21"/>
              </w:rPr>
            </w:pPr>
          </w:p>
        </w:tc>
        <w:tc>
          <w:tcPr>
            <w:tcW w:w="716" w:type="pct"/>
            <w:vAlign w:val="center"/>
          </w:tcPr>
          <w:p>
            <w:pPr>
              <w:spacing w:line="240" w:lineRule="auto"/>
              <w:jc w:val="left"/>
              <w:rPr>
                <w:color w:val="000000" w:themeColor="text1"/>
                <w:sz w:val="21"/>
                <w:szCs w:val="21"/>
              </w:rPr>
            </w:pPr>
            <w:r>
              <w:rPr>
                <w:color w:val="000000" w:themeColor="text1"/>
                <w:sz w:val="21"/>
                <w:szCs w:val="21"/>
              </w:rPr>
              <w:t>电子邮箱</w:t>
            </w:r>
          </w:p>
        </w:tc>
        <w:tc>
          <w:tcPr>
            <w:tcW w:w="2367" w:type="pct"/>
            <w:gridSpan w:val="4"/>
            <w:vAlign w:val="center"/>
          </w:tcPr>
          <w:p>
            <w:pPr>
              <w:spacing w:line="240" w:lineRule="auto"/>
              <w:jc w:val="center"/>
              <w:rPr>
                <w:color w:val="000000" w:themeColor="text1"/>
                <w:sz w:val="21"/>
                <w:szCs w:val="21"/>
              </w:rPr>
            </w:pPr>
          </w:p>
        </w:tc>
        <w:tc>
          <w:tcPr>
            <w:tcW w:w="686" w:type="pct"/>
            <w:vAlign w:val="center"/>
          </w:tcPr>
          <w:p>
            <w:pPr>
              <w:spacing w:line="240" w:lineRule="auto"/>
              <w:jc w:val="center"/>
              <w:rPr>
                <w:color w:val="000000" w:themeColor="text1"/>
                <w:sz w:val="21"/>
                <w:szCs w:val="21"/>
              </w:rPr>
            </w:pPr>
            <w:r>
              <w:rPr>
                <w:color w:val="000000" w:themeColor="text1"/>
                <w:sz w:val="21"/>
                <w:szCs w:val="21"/>
              </w:rPr>
              <w:t>传真</w:t>
            </w:r>
          </w:p>
        </w:tc>
        <w:tc>
          <w:tcPr>
            <w:tcW w:w="668" w:type="pct"/>
            <w:vAlign w:val="center"/>
          </w:tcPr>
          <w:p>
            <w:pPr>
              <w:spacing w:line="240" w:lineRule="auto"/>
              <w:jc w:val="center"/>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continue"/>
            <w:vAlign w:val="center"/>
          </w:tcPr>
          <w:p>
            <w:pPr>
              <w:spacing w:line="240" w:lineRule="auto"/>
              <w:rPr>
                <w:color w:val="000000" w:themeColor="text1"/>
                <w:sz w:val="21"/>
                <w:szCs w:val="21"/>
              </w:rPr>
            </w:pPr>
          </w:p>
        </w:tc>
        <w:tc>
          <w:tcPr>
            <w:tcW w:w="716" w:type="pct"/>
            <w:vAlign w:val="center"/>
          </w:tcPr>
          <w:p>
            <w:pPr>
              <w:spacing w:line="240" w:lineRule="auto"/>
              <w:jc w:val="left"/>
              <w:rPr>
                <w:color w:val="000000" w:themeColor="text1"/>
                <w:sz w:val="21"/>
                <w:szCs w:val="21"/>
              </w:rPr>
            </w:pPr>
            <w:r>
              <w:rPr>
                <w:color w:val="000000" w:themeColor="text1"/>
                <w:sz w:val="21"/>
                <w:szCs w:val="21"/>
              </w:rPr>
              <w:t>办公地点</w:t>
            </w:r>
          </w:p>
        </w:tc>
        <w:tc>
          <w:tcPr>
            <w:tcW w:w="3721" w:type="pct"/>
            <w:gridSpan w:val="6"/>
            <w:vAlign w:val="center"/>
          </w:tcPr>
          <w:p>
            <w:pPr>
              <w:spacing w:line="240" w:lineRule="auto"/>
              <w:rPr>
                <w:color w:val="000000" w:themeColor="text1"/>
                <w:sz w:val="21"/>
                <w:szCs w:val="21"/>
              </w:rPr>
            </w:pPr>
          </w:p>
        </w:tc>
      </w:tr>
    </w:tbl>
    <w:p>
      <w:pPr>
        <w:wordWrap w:val="0"/>
        <w:spacing w:line="480" w:lineRule="auto"/>
        <w:ind w:right="735" w:firstLine="5160" w:firstLineChars="2150"/>
        <w:rPr>
          <w:color w:val="000000" w:themeColor="text1"/>
        </w:rPr>
      </w:pPr>
    </w:p>
    <w:p>
      <w:pPr>
        <w:wordWrap w:val="0"/>
        <w:spacing w:line="480" w:lineRule="auto"/>
        <w:ind w:right="735" w:firstLine="5160" w:firstLineChars="2150"/>
        <w:jc w:val="right"/>
        <w:rPr>
          <w:rFonts w:ascii="宋体" w:hAnsi="宋体"/>
          <w:bCs/>
          <w:color w:val="000000" w:themeColor="text1"/>
        </w:rPr>
      </w:pPr>
      <w:r>
        <w:rPr>
          <w:rFonts w:hint="eastAsia"/>
          <w:color w:val="000000" w:themeColor="text1"/>
        </w:rPr>
        <w:t>承包商：</w:t>
      </w:r>
      <w:r>
        <w:rPr>
          <w:rFonts w:hint="eastAsia" w:ascii="宋体" w:hAnsi="宋体"/>
          <w:bCs/>
          <w:color w:val="000000" w:themeColor="text1"/>
        </w:rPr>
        <w:t>（盖单位章）</w:t>
      </w:r>
    </w:p>
    <w:p>
      <w:pPr>
        <w:wordWrap w:val="0"/>
        <w:spacing w:line="480" w:lineRule="auto"/>
        <w:ind w:right="735" w:firstLine="5160" w:firstLineChars="2150"/>
        <w:jc w:val="right"/>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xxxx</w:t>
      </w:r>
      <w:r>
        <w:rPr>
          <w:rFonts w:asciiTheme="minorEastAsia" w:hAnsiTheme="minorEastAsia" w:eastAsiaTheme="minorEastAsia"/>
          <w:bCs/>
          <w:color w:val="000000" w:themeColor="text1"/>
        </w:rPr>
        <w:t>年</w:t>
      </w:r>
      <w:r>
        <w:rPr>
          <w:rFonts w:hint="eastAsia" w:asciiTheme="minorEastAsia" w:hAnsiTheme="minorEastAsia" w:eastAsiaTheme="minorEastAsia"/>
          <w:bCs/>
          <w:color w:val="000000" w:themeColor="text1"/>
        </w:rPr>
        <w:t>xx</w:t>
      </w:r>
      <w:r>
        <w:rPr>
          <w:rFonts w:asciiTheme="minorEastAsia" w:hAnsiTheme="minorEastAsia" w:eastAsiaTheme="minorEastAsia"/>
          <w:bCs/>
          <w:color w:val="000000" w:themeColor="text1"/>
        </w:rPr>
        <w:t>月</w:t>
      </w:r>
      <w:r>
        <w:rPr>
          <w:rFonts w:hint="eastAsia" w:asciiTheme="minorEastAsia" w:hAnsiTheme="minorEastAsia" w:eastAsiaTheme="minorEastAsia"/>
          <w:bCs/>
          <w:color w:val="000000" w:themeColor="text1"/>
        </w:rPr>
        <w:t>xx</w:t>
      </w:r>
      <w:r>
        <w:rPr>
          <w:rFonts w:asciiTheme="minorEastAsia" w:hAnsiTheme="minorEastAsia" w:eastAsiaTheme="minorEastAsia"/>
          <w:bCs/>
          <w:color w:val="000000" w:themeColor="text1"/>
        </w:rPr>
        <w:t>日</w:t>
      </w:r>
    </w:p>
    <w:p>
      <w:pPr>
        <w:rPr>
          <w:color w:val="000000" w:themeColor="text1"/>
        </w:rPr>
      </w:pPr>
    </w:p>
    <w:p>
      <w:pPr>
        <w:rPr>
          <w:color w:val="000000" w:themeColor="text1"/>
        </w:rPr>
      </w:pPr>
    </w:p>
    <w:bookmarkEnd w:id="8"/>
    <w:p>
      <w:pPr>
        <w:snapToGrid w:val="0"/>
        <w:rPr>
          <w:b/>
          <w:bCs/>
          <w:color w:val="000000" w:themeColor="text1"/>
          <w:szCs w:val="21"/>
        </w:rPr>
      </w:pPr>
      <w:r>
        <w:rPr>
          <w:b/>
          <w:color w:val="000000" w:themeColor="text1"/>
          <w:sz w:val="32"/>
        </w:rPr>
        <w:br w:type="page"/>
      </w:r>
    </w:p>
    <w:p>
      <w:pPr>
        <w:snapToGrid w:val="0"/>
        <w:jc w:val="center"/>
        <w:outlineLvl w:val="0"/>
        <w:rPr>
          <w:b/>
          <w:bCs/>
          <w:color w:val="000000" w:themeColor="text1"/>
          <w:sz w:val="44"/>
          <w:szCs w:val="44"/>
        </w:rPr>
      </w:pPr>
      <w:bookmarkStart w:id="16" w:name="_Toc324338065"/>
      <w:bookmarkStart w:id="17" w:name="_Toc386206210"/>
      <w:bookmarkStart w:id="18" w:name="_Toc402858986"/>
      <w:bookmarkStart w:id="19" w:name="_Toc20642680"/>
      <w:r>
        <w:rPr>
          <w:rFonts w:hint="eastAsia"/>
          <w:b/>
          <w:bCs/>
          <w:color w:val="000000" w:themeColor="text1"/>
          <w:sz w:val="44"/>
          <w:szCs w:val="44"/>
        </w:rPr>
        <w:t>第二章 承包商须知</w:t>
      </w:r>
      <w:bookmarkEnd w:id="16"/>
      <w:bookmarkEnd w:id="17"/>
      <w:bookmarkEnd w:id="18"/>
      <w:bookmarkEnd w:id="19"/>
    </w:p>
    <w:p>
      <w:pPr>
        <w:pStyle w:val="3"/>
        <w:rPr>
          <w:b w:val="0"/>
          <w:color w:val="000000" w:themeColor="text1"/>
          <w:sz w:val="30"/>
          <w:szCs w:val="30"/>
        </w:rPr>
      </w:pPr>
      <w:bookmarkStart w:id="20" w:name="_Toc152045528"/>
      <w:bookmarkStart w:id="21" w:name="_Toc20642681"/>
      <w:bookmarkStart w:id="22" w:name="_Toc152042304"/>
      <w:bookmarkStart w:id="23" w:name="_Toc526793288"/>
      <w:bookmarkStart w:id="24" w:name="_Toc144974496"/>
      <w:r>
        <w:rPr>
          <w:rFonts w:hint="eastAsia"/>
          <w:b w:val="0"/>
          <w:color w:val="000000" w:themeColor="text1"/>
          <w:sz w:val="30"/>
          <w:szCs w:val="30"/>
        </w:rPr>
        <w:t>承包商须知前附表</w:t>
      </w:r>
      <w:bookmarkEnd w:id="20"/>
      <w:bookmarkEnd w:id="21"/>
      <w:bookmarkEnd w:id="22"/>
      <w:bookmarkEnd w:id="23"/>
      <w:bookmarkEnd w:id="24"/>
      <w:bookmarkStart w:id="25" w:name="OLE_LINK59"/>
    </w:p>
    <w:tbl>
      <w:tblPr>
        <w:tblStyle w:val="60"/>
        <w:tblW w:w="51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3363"/>
        <w:gridCol w:w="4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ascii="宋体" w:hAnsi="宋体"/>
                <w:color w:val="000000" w:themeColor="text1"/>
                <w:sz w:val="21"/>
                <w:szCs w:val="21"/>
              </w:rPr>
              <w:t>条款号</w:t>
            </w:r>
          </w:p>
        </w:tc>
        <w:tc>
          <w:tcPr>
            <w:tcW w:w="1924"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ascii="宋体" w:hAnsi="宋体"/>
                <w:color w:val="000000" w:themeColor="text1"/>
                <w:sz w:val="21"/>
                <w:szCs w:val="21"/>
              </w:rPr>
              <w:t>条款名称</w:t>
            </w:r>
          </w:p>
        </w:tc>
        <w:tc>
          <w:tcPr>
            <w:tcW w:w="2423"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ascii="宋体" w:hAnsi="宋体"/>
                <w:color w:val="000000" w:themeColor="text1"/>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b/>
                <w:color w:val="000000" w:themeColor="text1"/>
                <w:sz w:val="21"/>
                <w:szCs w:val="21"/>
              </w:rPr>
            </w:pPr>
            <w:r>
              <w:rPr>
                <w:rFonts w:hint="eastAsia" w:ascii="宋体" w:hAnsi="宋体"/>
                <w:b/>
                <w:color w:val="000000" w:themeColor="text1"/>
                <w:sz w:val="21"/>
                <w:szCs w:val="21"/>
              </w:rPr>
              <w:t>1</w:t>
            </w:r>
          </w:p>
        </w:tc>
        <w:tc>
          <w:tcPr>
            <w:tcW w:w="1924" w:type="pct"/>
            <w:shd w:val="clear" w:color="auto" w:fill="auto"/>
            <w:tcMar>
              <w:top w:w="57" w:type="dxa"/>
              <w:bottom w:w="57" w:type="dxa"/>
            </w:tcMar>
            <w:vAlign w:val="center"/>
          </w:tcPr>
          <w:p>
            <w:pPr>
              <w:snapToGrid w:val="0"/>
              <w:spacing w:line="240" w:lineRule="auto"/>
              <w:rPr>
                <w:rFonts w:ascii="宋体" w:hAnsi="宋体"/>
                <w:b/>
                <w:color w:val="000000" w:themeColor="text1"/>
                <w:sz w:val="21"/>
                <w:szCs w:val="21"/>
              </w:rPr>
            </w:pPr>
            <w:r>
              <w:rPr>
                <w:rFonts w:hint="eastAsia"/>
                <w:b/>
                <w:color w:val="000000" w:themeColor="text1"/>
                <w:sz w:val="21"/>
                <w:szCs w:val="21"/>
              </w:rPr>
              <w:t>采购文件及报价</w:t>
            </w:r>
          </w:p>
        </w:tc>
        <w:tc>
          <w:tcPr>
            <w:tcW w:w="2423"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strike/>
                <w:color w:val="000000" w:themeColor="text1"/>
                <w:sz w:val="21"/>
                <w:szCs w:val="21"/>
              </w:rPr>
            </w:pPr>
            <w:r>
              <w:rPr>
                <w:rFonts w:hint="eastAsia" w:ascii="宋体" w:hAnsi="宋体"/>
                <w:color w:val="000000" w:themeColor="text1"/>
                <w:sz w:val="21"/>
                <w:szCs w:val="21"/>
              </w:rPr>
              <w:t>1.1</w:t>
            </w:r>
          </w:p>
        </w:tc>
        <w:tc>
          <w:tcPr>
            <w:tcW w:w="1924" w:type="pct"/>
            <w:shd w:val="clear" w:color="auto" w:fill="auto"/>
            <w:tcMar>
              <w:top w:w="57" w:type="dxa"/>
              <w:bottom w:w="57" w:type="dxa"/>
            </w:tcMar>
            <w:vAlign w:val="center"/>
          </w:tcPr>
          <w:p>
            <w:pPr>
              <w:snapToGrid w:val="0"/>
              <w:spacing w:line="240" w:lineRule="auto"/>
              <w:rPr>
                <w:rFonts w:ascii="宋体" w:hAnsi="宋体"/>
                <w:strike/>
                <w:color w:val="000000" w:themeColor="text1"/>
                <w:sz w:val="21"/>
                <w:szCs w:val="21"/>
              </w:rPr>
            </w:pPr>
            <w:r>
              <w:rPr>
                <w:rFonts w:hint="eastAsia" w:ascii="宋体" w:hAnsi="宋体"/>
                <w:color w:val="000000" w:themeColor="text1"/>
                <w:sz w:val="21"/>
                <w:szCs w:val="21"/>
              </w:rPr>
              <w:t>报价方式及合同价款形式</w:t>
            </w:r>
          </w:p>
        </w:tc>
        <w:tc>
          <w:tcPr>
            <w:tcW w:w="2423"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综合降点率：固定综合降点率（不含材料）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trPr>
        <w:tc>
          <w:tcPr>
            <w:tcW w:w="652" w:type="pct"/>
            <w:shd w:val="clear" w:color="auto" w:fill="auto"/>
            <w:tcMar>
              <w:top w:w="57" w:type="dxa"/>
              <w:bottom w:w="57" w:type="dxa"/>
            </w:tcMar>
            <w:vAlign w:val="center"/>
          </w:tcPr>
          <w:p>
            <w:pPr>
              <w:snapToGrid w:val="0"/>
              <w:spacing w:line="240" w:lineRule="auto"/>
              <w:jc w:val="center"/>
              <w:rPr>
                <w:rFonts w:ascii="宋体" w:hAnsi="宋体"/>
                <w:strike/>
                <w:color w:val="000000" w:themeColor="text1"/>
                <w:sz w:val="21"/>
                <w:szCs w:val="21"/>
              </w:rPr>
            </w:pPr>
            <w:r>
              <w:rPr>
                <w:rFonts w:hint="eastAsia" w:ascii="宋体" w:hAnsi="宋体"/>
                <w:color w:val="000000" w:themeColor="text1"/>
                <w:sz w:val="21"/>
                <w:szCs w:val="21"/>
              </w:rPr>
              <w:t>1.2</w:t>
            </w:r>
          </w:p>
        </w:tc>
        <w:tc>
          <w:tcPr>
            <w:tcW w:w="1924" w:type="pct"/>
            <w:shd w:val="clear" w:color="auto" w:fill="auto"/>
            <w:tcMar>
              <w:top w:w="57" w:type="dxa"/>
              <w:bottom w:w="57" w:type="dxa"/>
            </w:tcMar>
            <w:vAlign w:val="center"/>
          </w:tcPr>
          <w:p>
            <w:pPr>
              <w:snapToGrid w:val="0"/>
              <w:spacing w:line="240" w:lineRule="auto"/>
              <w:rPr>
                <w:rFonts w:ascii="宋体" w:hAnsi="宋体"/>
                <w:strike/>
                <w:color w:val="000000" w:themeColor="text1"/>
                <w:sz w:val="21"/>
                <w:szCs w:val="21"/>
              </w:rPr>
            </w:pPr>
            <w:r>
              <w:rPr>
                <w:rFonts w:hint="eastAsia" w:ascii="宋体" w:hAnsi="宋体"/>
                <w:color w:val="000000" w:themeColor="text1"/>
                <w:sz w:val="21"/>
                <w:szCs w:val="21"/>
              </w:rPr>
              <w:t>最高限价</w:t>
            </w:r>
          </w:p>
        </w:tc>
        <w:tc>
          <w:tcPr>
            <w:tcW w:w="2423" w:type="pct"/>
            <w:shd w:val="clear" w:color="auto" w:fill="auto"/>
            <w:tcMar>
              <w:top w:w="57" w:type="dxa"/>
              <w:bottom w:w="57" w:type="dxa"/>
            </w:tcMar>
            <w:vAlign w:val="center"/>
          </w:tcPr>
          <w:p>
            <w:pPr>
              <w:snapToGrid w:val="0"/>
              <w:spacing w:line="240" w:lineRule="auto"/>
              <w:rPr>
                <w:rFonts w:ascii="宋体" w:hAnsi="宋体"/>
                <w:strike/>
                <w:color w:val="000000" w:themeColor="text1"/>
                <w:sz w:val="21"/>
                <w:szCs w:val="21"/>
              </w:rPr>
            </w:pPr>
            <w:r>
              <w:rPr>
                <w:rFonts w:hint="eastAsia" w:ascii="宋体" w:hAnsi="宋体"/>
                <w:color w:val="000000" w:themeColor="text1"/>
                <w:sz w:val="21"/>
                <w:szCs w:val="21"/>
              </w:rPr>
              <w:t>综合降点率不得低于3%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b/>
                <w:color w:val="000000" w:themeColor="text1"/>
                <w:sz w:val="21"/>
                <w:szCs w:val="21"/>
              </w:rPr>
            </w:pPr>
            <w:r>
              <w:rPr>
                <w:rFonts w:hint="eastAsia" w:ascii="宋体" w:hAnsi="宋体"/>
                <w:b/>
                <w:color w:val="000000" w:themeColor="text1"/>
                <w:sz w:val="21"/>
                <w:szCs w:val="21"/>
              </w:rPr>
              <w:t>2</w:t>
            </w:r>
          </w:p>
        </w:tc>
        <w:tc>
          <w:tcPr>
            <w:tcW w:w="1924" w:type="pct"/>
            <w:shd w:val="clear" w:color="auto" w:fill="auto"/>
            <w:tcMar>
              <w:top w:w="57" w:type="dxa"/>
              <w:bottom w:w="57" w:type="dxa"/>
            </w:tcMar>
            <w:vAlign w:val="center"/>
          </w:tcPr>
          <w:p>
            <w:pPr>
              <w:snapToGrid w:val="0"/>
              <w:spacing w:line="240" w:lineRule="auto"/>
              <w:rPr>
                <w:rFonts w:ascii="宋体" w:hAnsi="宋体"/>
                <w:b/>
                <w:color w:val="000000" w:themeColor="text1"/>
                <w:sz w:val="21"/>
                <w:szCs w:val="21"/>
              </w:rPr>
            </w:pPr>
            <w:r>
              <w:rPr>
                <w:rFonts w:hint="eastAsia" w:ascii="宋体" w:hAnsi="宋体"/>
                <w:b/>
                <w:color w:val="000000" w:themeColor="text1"/>
                <w:sz w:val="21"/>
                <w:szCs w:val="21"/>
              </w:rPr>
              <w:t>响应文件</w:t>
            </w:r>
          </w:p>
        </w:tc>
        <w:tc>
          <w:tcPr>
            <w:tcW w:w="2423" w:type="pct"/>
            <w:shd w:val="clear" w:color="auto" w:fill="auto"/>
            <w:tcMar>
              <w:top w:w="57" w:type="dxa"/>
              <w:bottom w:w="57" w:type="dxa"/>
            </w:tcMar>
            <w:vAlign w:val="center"/>
          </w:tcPr>
          <w:p>
            <w:pPr>
              <w:adjustRightInd w:val="0"/>
              <w:snapToGrid w:val="0"/>
              <w:spacing w:line="240" w:lineRule="auto"/>
              <w:rPr>
                <w:rFonts w:ascii="宋体" w:hAnsi="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hint="eastAsia" w:ascii="宋体" w:hAnsi="宋体"/>
                <w:color w:val="000000" w:themeColor="text1"/>
                <w:sz w:val="21"/>
                <w:szCs w:val="21"/>
              </w:rPr>
              <w:t>2.1</w:t>
            </w:r>
          </w:p>
        </w:tc>
        <w:tc>
          <w:tcPr>
            <w:tcW w:w="1924"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响应文件的份数</w:t>
            </w:r>
          </w:p>
        </w:tc>
        <w:tc>
          <w:tcPr>
            <w:tcW w:w="2423" w:type="pct"/>
            <w:shd w:val="clear" w:color="auto" w:fill="auto"/>
            <w:tcMar>
              <w:top w:w="57" w:type="dxa"/>
              <w:bottom w:w="57" w:type="dxa"/>
            </w:tcMar>
            <w:vAlign w:val="center"/>
          </w:tcPr>
          <w:p>
            <w:pPr>
              <w:adjustRightInd w:val="0"/>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纸版文件2份</w:t>
            </w:r>
          </w:p>
          <w:p>
            <w:pPr>
              <w:adjustRightInd w:val="0"/>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电子文件（纸版文件的PDF版本）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hint="eastAsia" w:ascii="宋体" w:hAnsi="宋体"/>
                <w:color w:val="000000" w:themeColor="text1"/>
                <w:sz w:val="21"/>
                <w:szCs w:val="21"/>
              </w:rPr>
              <w:t>2.2</w:t>
            </w:r>
          </w:p>
        </w:tc>
        <w:tc>
          <w:tcPr>
            <w:tcW w:w="1924"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响应文件递交方式</w:t>
            </w:r>
          </w:p>
        </w:tc>
        <w:tc>
          <w:tcPr>
            <w:tcW w:w="2423" w:type="pct"/>
            <w:shd w:val="clear" w:color="auto" w:fill="auto"/>
            <w:tcMar>
              <w:top w:w="57" w:type="dxa"/>
              <w:bottom w:w="57" w:type="dxa"/>
            </w:tcMar>
            <w:vAlign w:val="center"/>
          </w:tcPr>
          <w:p>
            <w:pPr>
              <w:snapToGrid w:val="0"/>
              <w:spacing w:line="240" w:lineRule="auto"/>
              <w:jc w:val="left"/>
              <w:outlineLvl w:val="1"/>
              <w:rPr>
                <w:rFonts w:ascii="宋体" w:hAnsi="宋体"/>
                <w:color w:val="000000" w:themeColor="text1"/>
                <w:sz w:val="21"/>
                <w:szCs w:val="21"/>
              </w:rPr>
            </w:pPr>
            <w:r>
              <w:rPr>
                <w:rFonts w:hint="eastAsia" w:ascii="宋体" w:hAnsi="宋体"/>
                <w:color w:val="000000" w:themeColor="text1"/>
                <w:sz w:val="21"/>
                <w:szCs w:val="21"/>
              </w:rPr>
              <w:t>场所递交：递交截止时间前，承包商递交人员持法定代表人身份证明或授权委托书将符合密封要求的文件送达递交地址、场所</w:t>
            </w:r>
          </w:p>
          <w:p>
            <w:pPr>
              <w:adjustRightInd w:val="0"/>
              <w:snapToGrid w:val="0"/>
              <w:spacing w:line="240" w:lineRule="auto"/>
              <w:rPr>
                <w:rFonts w:ascii="宋体" w:hAnsi="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b/>
                <w:color w:val="000000" w:themeColor="text1"/>
                <w:sz w:val="21"/>
                <w:szCs w:val="21"/>
              </w:rPr>
            </w:pPr>
            <w:r>
              <w:rPr>
                <w:rFonts w:hint="eastAsia" w:ascii="宋体" w:hAnsi="宋体"/>
                <w:b/>
                <w:color w:val="000000" w:themeColor="text1"/>
                <w:sz w:val="21"/>
                <w:szCs w:val="21"/>
              </w:rPr>
              <w:t>3</w:t>
            </w:r>
          </w:p>
        </w:tc>
        <w:tc>
          <w:tcPr>
            <w:tcW w:w="1924" w:type="pct"/>
            <w:shd w:val="clear" w:color="auto" w:fill="auto"/>
            <w:tcMar>
              <w:top w:w="57" w:type="dxa"/>
              <w:bottom w:w="57" w:type="dxa"/>
            </w:tcMar>
            <w:vAlign w:val="center"/>
          </w:tcPr>
          <w:p>
            <w:pPr>
              <w:snapToGrid w:val="0"/>
              <w:spacing w:line="240" w:lineRule="auto"/>
              <w:rPr>
                <w:rFonts w:ascii="宋体" w:hAnsi="宋体"/>
                <w:b/>
                <w:color w:val="000000" w:themeColor="text1"/>
                <w:sz w:val="21"/>
                <w:szCs w:val="21"/>
              </w:rPr>
            </w:pPr>
            <w:r>
              <w:rPr>
                <w:rFonts w:hint="eastAsia" w:ascii="宋体" w:hAnsi="宋体"/>
                <w:b/>
                <w:color w:val="000000" w:themeColor="text1"/>
                <w:sz w:val="21"/>
                <w:szCs w:val="21"/>
              </w:rPr>
              <w:t>响应保证金</w:t>
            </w:r>
          </w:p>
        </w:tc>
        <w:tc>
          <w:tcPr>
            <w:tcW w:w="2423" w:type="pct"/>
            <w:shd w:val="clear" w:color="auto" w:fill="auto"/>
            <w:tcMar>
              <w:top w:w="57" w:type="dxa"/>
              <w:bottom w:w="57" w:type="dxa"/>
            </w:tcMar>
            <w:vAlign w:val="center"/>
          </w:tcPr>
          <w:p>
            <w:pPr>
              <w:spacing w:line="240" w:lineRule="auto"/>
              <w:rPr>
                <w:rFonts w:ascii="宋体" w:hAnsi="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hint="eastAsia" w:ascii="宋体" w:hAnsi="宋体"/>
                <w:color w:val="000000" w:themeColor="text1"/>
                <w:sz w:val="21"/>
                <w:szCs w:val="21"/>
              </w:rPr>
              <w:t>3</w:t>
            </w:r>
            <w:r>
              <w:rPr>
                <w:rFonts w:ascii="宋体" w:hAnsi="宋体"/>
                <w:color w:val="000000" w:themeColor="text1"/>
                <w:sz w:val="21"/>
                <w:szCs w:val="21"/>
              </w:rPr>
              <w:t>.1</w:t>
            </w:r>
          </w:p>
        </w:tc>
        <w:tc>
          <w:tcPr>
            <w:tcW w:w="1924"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响应保证金</w:t>
            </w:r>
          </w:p>
        </w:tc>
        <w:tc>
          <w:tcPr>
            <w:tcW w:w="2423" w:type="pct"/>
            <w:shd w:val="clear" w:color="auto" w:fill="auto"/>
            <w:tcMar>
              <w:top w:w="57" w:type="dxa"/>
              <w:bottom w:w="57" w:type="dxa"/>
            </w:tcMar>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b/>
                <w:color w:val="000000" w:themeColor="text1"/>
                <w:sz w:val="21"/>
                <w:szCs w:val="21"/>
              </w:rPr>
            </w:pPr>
            <w:r>
              <w:rPr>
                <w:rFonts w:hint="eastAsia" w:ascii="宋体" w:hAnsi="宋体"/>
                <w:b/>
                <w:color w:val="000000" w:themeColor="text1"/>
                <w:sz w:val="21"/>
                <w:szCs w:val="21"/>
              </w:rPr>
              <w:t>4</w:t>
            </w:r>
          </w:p>
        </w:tc>
        <w:tc>
          <w:tcPr>
            <w:tcW w:w="1924" w:type="pct"/>
            <w:shd w:val="clear" w:color="auto" w:fill="auto"/>
            <w:tcMar>
              <w:top w:w="57" w:type="dxa"/>
              <w:bottom w:w="57" w:type="dxa"/>
            </w:tcMar>
            <w:vAlign w:val="center"/>
          </w:tcPr>
          <w:p>
            <w:pPr>
              <w:snapToGrid w:val="0"/>
              <w:spacing w:line="240" w:lineRule="auto"/>
              <w:rPr>
                <w:rFonts w:ascii="宋体" w:hAnsi="宋体"/>
                <w:b/>
                <w:color w:val="000000" w:themeColor="text1"/>
                <w:sz w:val="21"/>
                <w:szCs w:val="21"/>
              </w:rPr>
            </w:pPr>
            <w:r>
              <w:rPr>
                <w:rFonts w:hint="eastAsia" w:ascii="宋体" w:hAnsi="宋体"/>
                <w:b/>
                <w:color w:val="000000" w:themeColor="text1"/>
                <w:sz w:val="21"/>
                <w:szCs w:val="21"/>
              </w:rPr>
              <w:t>响应文件评审与签订合同</w:t>
            </w:r>
          </w:p>
        </w:tc>
        <w:tc>
          <w:tcPr>
            <w:tcW w:w="2423" w:type="pct"/>
            <w:shd w:val="clear" w:color="auto" w:fill="auto"/>
            <w:tcMar>
              <w:top w:w="57" w:type="dxa"/>
              <w:bottom w:w="57" w:type="dxa"/>
            </w:tcMar>
            <w:vAlign w:val="center"/>
          </w:tcPr>
          <w:p>
            <w:pPr>
              <w:spacing w:line="240" w:lineRule="auto"/>
              <w:rPr>
                <w:rFonts w:ascii="宋体" w:hAnsi="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hint="eastAsia" w:ascii="宋体" w:hAnsi="宋体"/>
                <w:color w:val="000000" w:themeColor="text1"/>
                <w:sz w:val="21"/>
                <w:szCs w:val="21"/>
              </w:rPr>
              <w:t>4</w:t>
            </w:r>
            <w:r>
              <w:rPr>
                <w:rFonts w:ascii="宋体" w:hAnsi="宋体"/>
                <w:color w:val="000000" w:themeColor="text1"/>
                <w:sz w:val="21"/>
                <w:szCs w:val="21"/>
              </w:rPr>
              <w:t>.</w:t>
            </w:r>
            <w:r>
              <w:rPr>
                <w:rFonts w:hint="eastAsia" w:ascii="宋体" w:hAnsi="宋体"/>
                <w:color w:val="000000" w:themeColor="text1"/>
                <w:sz w:val="21"/>
                <w:szCs w:val="21"/>
              </w:rPr>
              <w:t>1</w:t>
            </w:r>
          </w:p>
        </w:tc>
        <w:tc>
          <w:tcPr>
            <w:tcW w:w="1924" w:type="pct"/>
            <w:shd w:val="clear" w:color="auto" w:fill="auto"/>
            <w:tcMar>
              <w:top w:w="57" w:type="dxa"/>
              <w:bottom w:w="57" w:type="dxa"/>
            </w:tcMar>
            <w:vAlign w:val="center"/>
          </w:tcPr>
          <w:p>
            <w:pPr>
              <w:spacing w:line="240" w:lineRule="auto"/>
              <w:jc w:val="left"/>
              <w:rPr>
                <w:rFonts w:ascii="宋体" w:hAnsi="宋体"/>
                <w:color w:val="000000" w:themeColor="text1"/>
                <w:sz w:val="21"/>
                <w:szCs w:val="21"/>
              </w:rPr>
            </w:pPr>
            <w:r>
              <w:rPr>
                <w:rFonts w:hint="eastAsia" w:ascii="宋体" w:hAnsi="宋体"/>
                <w:color w:val="000000" w:themeColor="text1"/>
                <w:sz w:val="21"/>
                <w:szCs w:val="21"/>
              </w:rPr>
              <w:t>中标候选人推荐：第一中标人</w:t>
            </w:r>
          </w:p>
          <w:p>
            <w:pPr>
              <w:spacing w:line="240" w:lineRule="auto"/>
              <w:ind w:firstLine="1680" w:firstLineChars="800"/>
              <w:jc w:val="left"/>
              <w:rPr>
                <w:rFonts w:ascii="宋体" w:hAnsi="宋体"/>
                <w:color w:val="000000" w:themeColor="text1"/>
                <w:sz w:val="21"/>
                <w:szCs w:val="21"/>
              </w:rPr>
            </w:pPr>
            <w:r>
              <w:rPr>
                <w:rFonts w:hint="eastAsia" w:ascii="宋体" w:hAnsi="宋体"/>
                <w:color w:val="000000" w:themeColor="text1"/>
                <w:sz w:val="21"/>
                <w:szCs w:val="21"/>
              </w:rPr>
              <w:t>第二中标人</w:t>
            </w:r>
          </w:p>
        </w:tc>
        <w:tc>
          <w:tcPr>
            <w:tcW w:w="2423" w:type="pct"/>
            <w:shd w:val="clear" w:color="auto" w:fill="auto"/>
            <w:tcMar>
              <w:top w:w="57" w:type="dxa"/>
              <w:bottom w:w="57" w:type="dxa"/>
            </w:tcMar>
            <w:vAlign w:val="center"/>
          </w:tcPr>
          <w:p>
            <w:pPr>
              <w:snapToGrid w:val="0"/>
              <w:spacing w:line="240" w:lineRule="auto"/>
              <w:rPr>
                <w:rFonts w:ascii="宋体" w:hAnsi="宋体"/>
                <w:bCs/>
                <w:color w:val="000000" w:themeColor="text1"/>
                <w:spacing w:val="-4"/>
                <w:sz w:val="21"/>
                <w:szCs w:val="21"/>
              </w:rPr>
            </w:pPr>
            <w:r>
              <w:rPr>
                <w:rFonts w:hint="eastAsia" w:ascii="宋体" w:hAnsi="宋体"/>
                <w:bCs/>
                <w:color w:val="000000" w:themeColor="text1"/>
                <w:spacing w:val="-4"/>
                <w:sz w:val="21"/>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hint="eastAsia" w:ascii="宋体" w:hAnsi="宋体"/>
                <w:color w:val="000000" w:themeColor="text1"/>
                <w:sz w:val="21"/>
                <w:szCs w:val="21"/>
              </w:rPr>
              <w:t>4</w:t>
            </w:r>
            <w:r>
              <w:rPr>
                <w:rFonts w:ascii="宋体" w:hAnsi="宋体"/>
                <w:color w:val="000000" w:themeColor="text1"/>
                <w:sz w:val="21"/>
                <w:szCs w:val="21"/>
              </w:rPr>
              <w:t>.</w:t>
            </w:r>
            <w:r>
              <w:rPr>
                <w:rFonts w:hint="eastAsia" w:ascii="宋体" w:hAnsi="宋体"/>
                <w:color w:val="000000" w:themeColor="text1"/>
                <w:sz w:val="21"/>
                <w:szCs w:val="21"/>
              </w:rPr>
              <w:t>2</w:t>
            </w:r>
          </w:p>
        </w:tc>
        <w:tc>
          <w:tcPr>
            <w:tcW w:w="1924"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ascii="宋体" w:hAnsi="宋体"/>
                <w:color w:val="000000" w:themeColor="text1"/>
                <w:sz w:val="21"/>
                <w:szCs w:val="21"/>
              </w:rPr>
              <w:t>履约</w:t>
            </w:r>
            <w:r>
              <w:rPr>
                <w:rFonts w:hint="eastAsia" w:ascii="宋体" w:hAnsi="宋体"/>
                <w:color w:val="000000" w:themeColor="text1"/>
                <w:sz w:val="21"/>
                <w:szCs w:val="21"/>
              </w:rPr>
              <w:t>保证金</w:t>
            </w:r>
          </w:p>
        </w:tc>
        <w:tc>
          <w:tcPr>
            <w:tcW w:w="2423"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b/>
                <w:color w:val="000000" w:themeColor="text1"/>
                <w:sz w:val="21"/>
                <w:szCs w:val="21"/>
              </w:rPr>
            </w:pPr>
            <w:r>
              <w:rPr>
                <w:rFonts w:hint="eastAsia" w:ascii="宋体" w:hAnsi="宋体"/>
                <w:b/>
                <w:color w:val="000000" w:themeColor="text1"/>
                <w:sz w:val="21"/>
                <w:szCs w:val="21"/>
              </w:rPr>
              <w:t>5</w:t>
            </w:r>
          </w:p>
        </w:tc>
        <w:tc>
          <w:tcPr>
            <w:tcW w:w="1924" w:type="pct"/>
            <w:shd w:val="clear" w:color="auto" w:fill="auto"/>
            <w:tcMar>
              <w:top w:w="57" w:type="dxa"/>
              <w:bottom w:w="57" w:type="dxa"/>
            </w:tcMar>
            <w:vAlign w:val="center"/>
          </w:tcPr>
          <w:p>
            <w:pPr>
              <w:snapToGrid w:val="0"/>
              <w:spacing w:line="240" w:lineRule="auto"/>
              <w:rPr>
                <w:rFonts w:ascii="宋体" w:hAnsi="宋体"/>
                <w:b/>
                <w:color w:val="000000" w:themeColor="text1"/>
                <w:sz w:val="21"/>
                <w:szCs w:val="21"/>
              </w:rPr>
            </w:pPr>
            <w:r>
              <w:rPr>
                <w:rFonts w:hint="eastAsia" w:ascii="宋体" w:hAnsi="宋体"/>
                <w:b/>
                <w:color w:val="000000" w:themeColor="text1"/>
                <w:sz w:val="21"/>
                <w:szCs w:val="21"/>
              </w:rPr>
              <w:t>异议和投诉</w:t>
            </w:r>
          </w:p>
        </w:tc>
        <w:tc>
          <w:tcPr>
            <w:tcW w:w="2423" w:type="pct"/>
            <w:shd w:val="clear" w:color="auto" w:fill="auto"/>
            <w:tcMar>
              <w:top w:w="57" w:type="dxa"/>
              <w:bottom w:w="57" w:type="dxa"/>
            </w:tcMar>
            <w:vAlign w:val="center"/>
          </w:tcPr>
          <w:p>
            <w:pPr>
              <w:snapToGrid w:val="0"/>
              <w:spacing w:line="240" w:lineRule="auto"/>
              <w:rPr>
                <w:rFonts w:ascii="宋体" w:hAnsi="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hint="eastAsia" w:ascii="宋体" w:hAnsi="宋体"/>
                <w:color w:val="000000" w:themeColor="text1"/>
                <w:sz w:val="21"/>
                <w:szCs w:val="21"/>
              </w:rPr>
              <w:t>5.1</w:t>
            </w:r>
          </w:p>
        </w:tc>
        <w:tc>
          <w:tcPr>
            <w:tcW w:w="1924"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监督与管理</w:t>
            </w:r>
          </w:p>
        </w:tc>
        <w:tc>
          <w:tcPr>
            <w:tcW w:w="2423" w:type="pct"/>
            <w:shd w:val="clear" w:color="auto" w:fill="auto"/>
            <w:tcMar>
              <w:top w:w="57" w:type="dxa"/>
              <w:bottom w:w="57" w:type="dxa"/>
            </w:tcMar>
            <w:vAlign w:val="center"/>
          </w:tcPr>
          <w:p>
            <w:pPr>
              <w:snapToGrid w:val="0"/>
              <w:spacing w:line="240" w:lineRule="auto"/>
              <w:rPr>
                <w:rFonts w:asciiTheme="minorEastAsia" w:hAnsiTheme="minorEastAsia" w:eastAsiaTheme="minorEastAsia"/>
                <w:color w:val="000000" w:themeColor="text1"/>
                <w:sz w:val="21"/>
                <w:szCs w:val="21"/>
              </w:rPr>
            </w:pPr>
          </w:p>
          <w:p>
            <w:pPr>
              <w:snapToGrid w:val="0"/>
              <w:spacing w:line="240" w:lineRule="auto"/>
              <w:ind w:firstLine="105" w:firstLineChars="50"/>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名称：化机公司监察室</w:t>
            </w:r>
          </w:p>
          <w:p>
            <w:pPr>
              <w:snapToGrid w:val="0"/>
              <w:spacing w:line="240" w:lineRule="auto"/>
              <w:ind w:firstLine="105" w:firstLineChars="50"/>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联系人：陈行军</w:t>
            </w:r>
          </w:p>
          <w:p>
            <w:pPr>
              <w:snapToGrid w:val="0"/>
              <w:spacing w:line="240" w:lineRule="auto"/>
              <w:rPr>
                <w:rFonts w:cs="Verdana" w:asciiTheme="minorEastAsia" w:hAnsiTheme="minorEastAsia" w:eastAsiaTheme="minorEastAsia"/>
                <w:b/>
                <w:color w:val="000000" w:themeColor="text1"/>
                <w:sz w:val="21"/>
                <w:szCs w:val="21"/>
              </w:rPr>
            </w:pPr>
            <w:r>
              <w:rPr>
                <w:rFonts w:hint="eastAsia" w:asciiTheme="minorEastAsia" w:hAnsiTheme="minorEastAsia" w:eastAsiaTheme="minorEastAsia"/>
                <w:color w:val="000000" w:themeColor="text1"/>
                <w:sz w:val="21"/>
                <w:szCs w:val="21"/>
              </w:rPr>
              <w:t xml:space="preserve"> 联系电话：13851446759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b/>
                <w:color w:val="000000" w:themeColor="text1"/>
                <w:sz w:val="21"/>
                <w:szCs w:val="21"/>
              </w:rPr>
            </w:pPr>
            <w:r>
              <w:rPr>
                <w:rFonts w:hint="eastAsia" w:ascii="宋体" w:hAnsi="宋体"/>
                <w:b/>
                <w:color w:val="000000" w:themeColor="text1"/>
                <w:sz w:val="21"/>
                <w:szCs w:val="21"/>
              </w:rPr>
              <w:t>6</w:t>
            </w:r>
          </w:p>
        </w:tc>
        <w:tc>
          <w:tcPr>
            <w:tcW w:w="1924" w:type="pct"/>
            <w:shd w:val="clear" w:color="auto" w:fill="auto"/>
            <w:tcMar>
              <w:top w:w="57" w:type="dxa"/>
              <w:bottom w:w="57" w:type="dxa"/>
            </w:tcMar>
            <w:vAlign w:val="center"/>
          </w:tcPr>
          <w:p>
            <w:pPr>
              <w:snapToGrid w:val="0"/>
              <w:spacing w:line="240" w:lineRule="auto"/>
              <w:rPr>
                <w:rFonts w:ascii="宋体" w:hAnsi="宋体"/>
                <w:b/>
                <w:color w:val="000000" w:themeColor="text1"/>
                <w:sz w:val="21"/>
                <w:szCs w:val="21"/>
              </w:rPr>
            </w:pPr>
            <w:r>
              <w:rPr>
                <w:rFonts w:hint="eastAsia" w:ascii="宋体" w:hAnsi="宋体"/>
                <w:b/>
                <w:color w:val="000000" w:themeColor="text1"/>
                <w:sz w:val="21"/>
                <w:szCs w:val="21"/>
              </w:rPr>
              <w:t>其他关键事项</w:t>
            </w:r>
          </w:p>
        </w:tc>
        <w:tc>
          <w:tcPr>
            <w:tcW w:w="2423" w:type="pct"/>
            <w:shd w:val="clear" w:color="auto" w:fill="auto"/>
            <w:tcMar>
              <w:top w:w="57" w:type="dxa"/>
              <w:bottom w:w="57" w:type="dxa"/>
            </w:tcMar>
            <w:vAlign w:val="center"/>
          </w:tcPr>
          <w:p>
            <w:pPr>
              <w:snapToGrid w:val="0"/>
              <w:spacing w:line="240" w:lineRule="auto"/>
              <w:rPr>
                <w:rFonts w:cs="Verdana" w:asciiTheme="minorEastAsia" w:hAnsiTheme="minorEastAsia" w:eastAsiaTheme="minorEastAsia"/>
                <w:b/>
                <w:color w:val="000000" w:themeColor="text1"/>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r>
              <w:rPr>
                <w:rFonts w:hint="eastAsia" w:ascii="宋体" w:hAnsi="宋体"/>
                <w:color w:val="000000" w:themeColor="text1"/>
                <w:sz w:val="21"/>
                <w:szCs w:val="21"/>
              </w:rPr>
              <w:t>6.1</w:t>
            </w:r>
          </w:p>
        </w:tc>
        <w:tc>
          <w:tcPr>
            <w:tcW w:w="1924"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现场踏勘</w:t>
            </w:r>
          </w:p>
        </w:tc>
        <w:tc>
          <w:tcPr>
            <w:tcW w:w="2423" w:type="pct"/>
            <w:shd w:val="clear" w:color="auto" w:fill="auto"/>
            <w:tcMar>
              <w:top w:w="57" w:type="dxa"/>
              <w:bottom w:w="57" w:type="dxa"/>
            </w:tcMar>
            <w:vAlign w:val="center"/>
          </w:tcPr>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踏勘时间：2022年5月25日</w:t>
            </w:r>
          </w:p>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踏勘集中地点：生产机动部会议室</w:t>
            </w:r>
          </w:p>
          <w:p>
            <w:pPr>
              <w:snapToGrid w:val="0"/>
              <w:spacing w:line="240" w:lineRule="auto"/>
              <w:rPr>
                <w:rFonts w:ascii="宋体" w:hAnsi="宋体"/>
                <w:color w:val="000000" w:themeColor="text1"/>
                <w:sz w:val="21"/>
                <w:szCs w:val="21"/>
              </w:rPr>
            </w:pPr>
            <w:r>
              <w:rPr>
                <w:rFonts w:hint="eastAsia" w:ascii="宋体" w:hAnsi="宋体"/>
                <w:color w:val="000000" w:themeColor="text1"/>
                <w:sz w:val="21"/>
                <w:szCs w:val="21"/>
              </w:rPr>
              <w:t>采购人联系人及电话：刘多多13912979127</w:t>
            </w:r>
          </w:p>
          <w:p>
            <w:pPr>
              <w:snapToGrid w:val="0"/>
              <w:spacing w:line="240" w:lineRule="auto"/>
              <w:rPr>
                <w:rFonts w:cs="Verdana" w:asciiTheme="minorEastAsia" w:hAnsiTheme="minorEastAsia" w:eastAsiaTheme="minorEastAsia"/>
                <w:b/>
                <w:color w:val="000000" w:themeColor="text1"/>
                <w:sz w:val="21"/>
                <w:szCs w:val="21"/>
              </w:rPr>
            </w:pPr>
            <w:r>
              <w:rPr>
                <w:rFonts w:hint="eastAsia" w:ascii="宋体" w:hAnsi="宋体"/>
                <w:color w:val="000000" w:themeColor="text1"/>
                <w:sz w:val="21"/>
                <w:szCs w:val="21"/>
              </w:rPr>
              <w:t>请承包商注意自己身份的保密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pStyle w:val="24"/>
              <w:topLinePunct/>
              <w:snapToGrid w:val="0"/>
              <w:spacing w:line="240" w:lineRule="auto"/>
              <w:jc w:val="center"/>
              <w:rPr>
                <w:rFonts w:hAnsi="宋体"/>
                <w:b/>
                <w:color w:val="000000" w:themeColor="text1"/>
                <w:sz w:val="21"/>
                <w:szCs w:val="21"/>
              </w:rPr>
            </w:pPr>
            <w:r>
              <w:rPr>
                <w:rFonts w:hint="eastAsia" w:hAnsi="宋体"/>
                <w:b/>
                <w:color w:val="000000" w:themeColor="text1"/>
                <w:sz w:val="21"/>
                <w:szCs w:val="21"/>
              </w:rPr>
              <w:t>7</w:t>
            </w:r>
          </w:p>
        </w:tc>
        <w:tc>
          <w:tcPr>
            <w:tcW w:w="1924" w:type="pct"/>
            <w:shd w:val="clear" w:color="auto" w:fill="auto"/>
            <w:tcMar>
              <w:top w:w="57" w:type="dxa"/>
              <w:bottom w:w="57" w:type="dxa"/>
            </w:tcMar>
            <w:vAlign w:val="center"/>
          </w:tcPr>
          <w:p>
            <w:pPr>
              <w:pStyle w:val="24"/>
              <w:topLinePunct/>
              <w:snapToGrid w:val="0"/>
              <w:spacing w:line="240" w:lineRule="auto"/>
              <w:jc w:val="left"/>
              <w:rPr>
                <w:rFonts w:hAnsi="宋体"/>
                <w:b/>
                <w:color w:val="000000" w:themeColor="text1"/>
                <w:sz w:val="21"/>
                <w:szCs w:val="21"/>
              </w:rPr>
            </w:pPr>
            <w:r>
              <w:rPr>
                <w:rFonts w:hint="eastAsia" w:hAnsi="宋体"/>
                <w:b/>
                <w:color w:val="000000" w:themeColor="text1"/>
                <w:sz w:val="21"/>
                <w:szCs w:val="21"/>
              </w:rPr>
              <w:t>递交响应文件截止时间</w:t>
            </w:r>
          </w:p>
        </w:tc>
        <w:tc>
          <w:tcPr>
            <w:tcW w:w="2423" w:type="pct"/>
            <w:shd w:val="clear" w:color="auto" w:fill="auto"/>
            <w:tcMar>
              <w:top w:w="57" w:type="dxa"/>
              <w:bottom w:w="57" w:type="dxa"/>
            </w:tcMar>
            <w:vAlign w:val="center"/>
          </w:tcPr>
          <w:p>
            <w:pPr>
              <w:pStyle w:val="24"/>
              <w:topLinePunct/>
              <w:snapToGrid w:val="0"/>
              <w:spacing w:line="240" w:lineRule="auto"/>
              <w:rPr>
                <w:rFonts w:hAnsi="宋体"/>
                <w:color w:val="000000" w:themeColor="text1"/>
                <w:sz w:val="21"/>
                <w:szCs w:val="21"/>
              </w:rPr>
            </w:pPr>
            <w:r>
              <w:rPr>
                <w:rFonts w:hint="eastAsia"/>
                <w:color w:val="FF0000"/>
                <w:sz w:val="21"/>
                <w:szCs w:val="21"/>
              </w:rPr>
              <w:t>至</w:t>
            </w:r>
            <w:r>
              <w:rPr>
                <w:rFonts w:hint="eastAsia" w:hAnsi="宋体"/>
                <w:color w:val="FF0000"/>
                <w:sz w:val="21"/>
                <w:szCs w:val="21"/>
              </w:rPr>
              <w:t>2022年5月30日12时00分止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2" w:type="pct"/>
            <w:shd w:val="clear" w:color="auto" w:fill="auto"/>
            <w:tcMar>
              <w:top w:w="57" w:type="dxa"/>
              <w:bottom w:w="57" w:type="dxa"/>
            </w:tcMar>
            <w:vAlign w:val="center"/>
          </w:tcPr>
          <w:p>
            <w:pPr>
              <w:snapToGrid w:val="0"/>
              <w:spacing w:line="240" w:lineRule="auto"/>
              <w:jc w:val="center"/>
              <w:rPr>
                <w:rFonts w:ascii="宋体" w:hAnsi="宋体"/>
                <w:color w:val="000000" w:themeColor="text1"/>
                <w:sz w:val="21"/>
                <w:szCs w:val="21"/>
              </w:rPr>
            </w:pPr>
          </w:p>
        </w:tc>
        <w:tc>
          <w:tcPr>
            <w:tcW w:w="1924" w:type="pct"/>
            <w:shd w:val="clear" w:color="auto" w:fill="auto"/>
            <w:tcMar>
              <w:top w:w="57" w:type="dxa"/>
              <w:bottom w:w="57" w:type="dxa"/>
            </w:tcMar>
            <w:vAlign w:val="center"/>
          </w:tcPr>
          <w:p>
            <w:pPr>
              <w:topLinePunct/>
              <w:snapToGrid w:val="0"/>
              <w:spacing w:line="240" w:lineRule="auto"/>
              <w:rPr>
                <w:rFonts w:asciiTheme="minorEastAsia" w:hAnsiTheme="minorEastAsia" w:eastAsiaTheme="minorEastAsia"/>
                <w:color w:val="000000" w:themeColor="text1"/>
                <w:sz w:val="21"/>
                <w:szCs w:val="21"/>
              </w:rPr>
            </w:pPr>
          </w:p>
        </w:tc>
        <w:tc>
          <w:tcPr>
            <w:tcW w:w="2423" w:type="pct"/>
            <w:shd w:val="clear" w:color="auto" w:fill="auto"/>
            <w:tcMar>
              <w:top w:w="57" w:type="dxa"/>
              <w:bottom w:w="57" w:type="dxa"/>
            </w:tcMar>
            <w:vAlign w:val="center"/>
          </w:tcPr>
          <w:p>
            <w:pPr>
              <w:snapToGrid w:val="0"/>
              <w:spacing w:line="240" w:lineRule="auto"/>
              <w:jc w:val="left"/>
              <w:outlineLvl w:val="1"/>
              <w:rPr>
                <w:rFonts w:asciiTheme="minorEastAsia" w:hAnsiTheme="minorEastAsia" w:eastAsiaTheme="minorEastAsia"/>
                <w:color w:val="000000" w:themeColor="text1"/>
                <w:sz w:val="21"/>
                <w:szCs w:val="21"/>
              </w:rPr>
            </w:pPr>
          </w:p>
        </w:tc>
      </w:tr>
    </w:tbl>
    <w:p>
      <w:pPr>
        <w:rPr>
          <w:color w:val="000000" w:themeColor="text1"/>
        </w:rPr>
      </w:pPr>
    </w:p>
    <w:bookmarkEnd w:id="25"/>
    <w:p>
      <w:pPr>
        <w:pStyle w:val="3"/>
        <w:rPr>
          <w:color w:val="000000" w:themeColor="text1"/>
        </w:rPr>
        <w:sectPr>
          <w:pgSz w:w="11906" w:h="16838"/>
          <w:pgMar w:top="1440" w:right="1800" w:bottom="1440" w:left="1800" w:header="737" w:footer="992" w:gutter="0"/>
          <w:pgNumType w:start="1"/>
          <w:cols w:space="425" w:num="1"/>
          <w:docGrid w:linePitch="326" w:charSpace="0"/>
        </w:sectPr>
      </w:pPr>
      <w:bookmarkStart w:id="26" w:name="_Toc526793294"/>
      <w:bookmarkStart w:id="27" w:name="_Toc526793295"/>
      <w:bookmarkStart w:id="28" w:name="_Toc386206211"/>
    </w:p>
    <w:bookmarkEnd w:id="26"/>
    <w:bookmarkEnd w:id="27"/>
    <w:p>
      <w:pPr>
        <w:keepNext/>
        <w:keepLines/>
        <w:outlineLvl w:val="1"/>
        <w:rPr>
          <w:rFonts w:ascii="Arial" w:hAnsi="Arial"/>
          <w:b/>
          <w:bCs/>
          <w:color w:val="000000" w:themeColor="text1"/>
          <w:kern w:val="0"/>
          <w:szCs w:val="32"/>
        </w:rPr>
      </w:pPr>
      <w:bookmarkStart w:id="29" w:name="_Toc20642682"/>
      <w:r>
        <w:rPr>
          <w:rFonts w:hint="eastAsia" w:ascii="Arial" w:hAnsi="Arial"/>
          <w:b/>
          <w:bCs/>
          <w:color w:val="000000" w:themeColor="text1"/>
          <w:kern w:val="0"/>
          <w:szCs w:val="32"/>
        </w:rPr>
        <w:t>1．采购文件及报价</w:t>
      </w:r>
      <w:bookmarkEnd w:id="29"/>
    </w:p>
    <w:p>
      <w:pPr>
        <w:snapToGrid w:val="0"/>
        <w:ind w:firstLine="480" w:firstLineChars="200"/>
        <w:rPr>
          <w:rFonts w:ascii="宋体" w:hAnsi="宋体"/>
          <w:color w:val="000000" w:themeColor="text1"/>
        </w:rPr>
      </w:pPr>
      <w:r>
        <w:rPr>
          <w:rFonts w:hint="eastAsia" w:ascii="宋体" w:hAnsi="宋体"/>
          <w:color w:val="000000" w:themeColor="text1"/>
        </w:rPr>
        <w:t>1.1采购文件的组成</w:t>
      </w:r>
    </w:p>
    <w:p>
      <w:pPr>
        <w:snapToGrid w:val="0"/>
        <w:ind w:firstLine="480" w:firstLineChars="200"/>
        <w:rPr>
          <w:rFonts w:ascii="宋体" w:hAnsi="宋体"/>
          <w:color w:val="000000" w:themeColor="text1"/>
        </w:rPr>
      </w:pPr>
      <w:r>
        <w:rPr>
          <w:rFonts w:hint="eastAsia" w:ascii="宋体" w:hAnsi="宋体"/>
          <w:color w:val="000000" w:themeColor="text1"/>
        </w:rPr>
        <w:t>（1）采购公告；</w:t>
      </w:r>
    </w:p>
    <w:p>
      <w:pPr>
        <w:snapToGrid w:val="0"/>
        <w:ind w:firstLine="480" w:firstLineChars="200"/>
        <w:rPr>
          <w:rFonts w:ascii="宋体" w:hAnsi="宋体"/>
          <w:color w:val="000000" w:themeColor="text1"/>
        </w:rPr>
      </w:pPr>
      <w:r>
        <w:rPr>
          <w:rFonts w:hint="eastAsia" w:ascii="宋体" w:hAnsi="宋体"/>
          <w:color w:val="000000" w:themeColor="text1"/>
        </w:rPr>
        <w:t>（2）</w:t>
      </w:r>
      <w:r>
        <w:rPr>
          <w:rFonts w:ascii="宋体" w:hAnsi="宋体"/>
          <w:color w:val="000000" w:themeColor="text1"/>
        </w:rPr>
        <w:t>承包商须知；</w:t>
      </w:r>
    </w:p>
    <w:p>
      <w:pPr>
        <w:snapToGrid w:val="0"/>
        <w:ind w:firstLine="480" w:firstLineChars="200"/>
        <w:rPr>
          <w:rFonts w:ascii="宋体" w:hAnsi="宋体"/>
          <w:color w:val="000000" w:themeColor="text1"/>
        </w:rPr>
      </w:pPr>
      <w:r>
        <w:rPr>
          <w:rFonts w:hint="eastAsia" w:ascii="宋体" w:hAnsi="宋体"/>
          <w:color w:val="000000" w:themeColor="text1"/>
        </w:rPr>
        <w:t>（3）报价说明；</w:t>
      </w:r>
    </w:p>
    <w:p>
      <w:pPr>
        <w:snapToGrid w:val="0"/>
        <w:ind w:firstLine="480" w:firstLineChars="200"/>
        <w:rPr>
          <w:rFonts w:ascii="宋体" w:hAnsi="宋体"/>
          <w:color w:val="000000" w:themeColor="text1"/>
        </w:rPr>
      </w:pPr>
      <w:r>
        <w:rPr>
          <w:rFonts w:hint="eastAsia" w:ascii="宋体" w:hAnsi="宋体"/>
          <w:color w:val="000000" w:themeColor="text1"/>
        </w:rPr>
        <w:t>（4）</w:t>
      </w:r>
      <w:r>
        <w:rPr>
          <w:rFonts w:ascii="宋体" w:hAnsi="宋体"/>
          <w:color w:val="000000" w:themeColor="text1"/>
        </w:rPr>
        <w:t>评审办法；</w:t>
      </w:r>
    </w:p>
    <w:p>
      <w:pPr>
        <w:snapToGrid w:val="0"/>
        <w:ind w:firstLine="480" w:firstLineChars="200"/>
        <w:rPr>
          <w:rFonts w:ascii="宋体" w:hAnsi="宋体"/>
          <w:color w:val="000000" w:themeColor="text1"/>
        </w:rPr>
      </w:pPr>
      <w:r>
        <w:rPr>
          <w:rFonts w:hint="eastAsia" w:ascii="宋体" w:hAnsi="宋体"/>
          <w:color w:val="000000" w:themeColor="text1"/>
        </w:rPr>
        <w:t>（5）</w:t>
      </w:r>
      <w:r>
        <w:rPr>
          <w:rFonts w:ascii="宋体" w:hAnsi="宋体"/>
          <w:color w:val="000000" w:themeColor="text1"/>
        </w:rPr>
        <w:t>合同条款；</w:t>
      </w:r>
    </w:p>
    <w:p>
      <w:pPr>
        <w:snapToGrid w:val="0"/>
        <w:ind w:firstLine="480" w:firstLineChars="200"/>
        <w:rPr>
          <w:rFonts w:ascii="宋体" w:hAnsi="宋体"/>
          <w:color w:val="000000" w:themeColor="text1"/>
        </w:rPr>
      </w:pPr>
      <w:r>
        <w:rPr>
          <w:rFonts w:hint="eastAsia" w:ascii="宋体" w:hAnsi="宋体"/>
          <w:color w:val="000000" w:themeColor="text1"/>
        </w:rPr>
        <w:t>（6）采购需求</w:t>
      </w:r>
      <w:r>
        <w:rPr>
          <w:rFonts w:ascii="宋体" w:hAnsi="宋体"/>
          <w:color w:val="000000" w:themeColor="text1"/>
        </w:rPr>
        <w:t>；</w:t>
      </w:r>
    </w:p>
    <w:p>
      <w:pPr>
        <w:snapToGrid w:val="0"/>
        <w:ind w:firstLine="480" w:firstLineChars="200"/>
        <w:rPr>
          <w:rFonts w:ascii="宋体" w:hAnsi="宋体"/>
          <w:color w:val="000000" w:themeColor="text1"/>
        </w:rPr>
      </w:pPr>
      <w:r>
        <w:rPr>
          <w:rFonts w:hint="eastAsia" w:ascii="宋体" w:hAnsi="宋体"/>
          <w:color w:val="000000" w:themeColor="text1"/>
        </w:rPr>
        <w:t>（7）响应文件</w:t>
      </w:r>
      <w:r>
        <w:rPr>
          <w:rFonts w:ascii="宋体" w:hAnsi="宋体"/>
          <w:color w:val="000000" w:themeColor="text1"/>
        </w:rPr>
        <w:t>格式</w:t>
      </w:r>
      <w:r>
        <w:rPr>
          <w:rFonts w:hint="eastAsia" w:ascii="宋体" w:hAnsi="宋体"/>
          <w:color w:val="000000" w:themeColor="text1"/>
        </w:rPr>
        <w:t>。</w:t>
      </w:r>
    </w:p>
    <w:p>
      <w:pPr>
        <w:snapToGrid w:val="0"/>
        <w:ind w:firstLine="480" w:firstLineChars="200"/>
        <w:rPr>
          <w:rFonts w:ascii="宋体" w:hAnsi="宋体"/>
          <w:color w:val="000000" w:themeColor="text1"/>
        </w:rPr>
      </w:pPr>
      <w:r>
        <w:rPr>
          <w:rFonts w:ascii="宋体" w:hAnsi="宋体"/>
          <w:color w:val="000000" w:themeColor="text1"/>
        </w:rPr>
        <w:t>根据本章第</w:t>
      </w:r>
      <w:r>
        <w:rPr>
          <w:rFonts w:hint="eastAsia" w:ascii="宋体" w:hAnsi="宋体"/>
          <w:color w:val="000000" w:themeColor="text1"/>
        </w:rPr>
        <w:t>1</w:t>
      </w:r>
      <w:r>
        <w:rPr>
          <w:rFonts w:ascii="宋体" w:hAnsi="宋体"/>
          <w:color w:val="000000" w:themeColor="text1"/>
        </w:rPr>
        <w:t>.2款对采购文件所作的修改</w:t>
      </w:r>
      <w:r>
        <w:rPr>
          <w:rFonts w:hint="eastAsia" w:ascii="宋体" w:hAnsi="宋体"/>
          <w:color w:val="000000" w:themeColor="text1"/>
        </w:rPr>
        <w:t>、</w:t>
      </w:r>
      <w:r>
        <w:rPr>
          <w:rFonts w:ascii="宋体" w:hAnsi="宋体"/>
          <w:color w:val="000000" w:themeColor="text1"/>
        </w:rPr>
        <w:t>澄清构成采购文件的组成部分。</w:t>
      </w:r>
      <w:bookmarkStart w:id="30" w:name="_Toc514166831"/>
      <w:bookmarkStart w:id="31" w:name="_Toc511142763"/>
      <w:bookmarkStart w:id="32" w:name="_Toc511126385"/>
    </w:p>
    <w:p>
      <w:pPr>
        <w:snapToGrid w:val="0"/>
        <w:ind w:firstLine="480" w:firstLineChars="200"/>
        <w:rPr>
          <w:rFonts w:ascii="宋体" w:hAnsi="宋体"/>
          <w:color w:val="000000" w:themeColor="text1"/>
        </w:rPr>
      </w:pPr>
      <w:r>
        <w:rPr>
          <w:rFonts w:hint="eastAsia" w:ascii="宋体" w:hAnsi="宋体"/>
          <w:color w:val="000000" w:themeColor="text1"/>
        </w:rPr>
        <w:t>1.2采购文件的修改和澄清</w:t>
      </w:r>
    </w:p>
    <w:p>
      <w:pPr>
        <w:snapToGrid w:val="0"/>
        <w:ind w:firstLine="480" w:firstLineChars="200"/>
        <w:rPr>
          <w:rFonts w:ascii="宋体" w:hAnsi="宋体"/>
          <w:color w:val="000000" w:themeColor="text1"/>
        </w:rPr>
      </w:pPr>
      <w:r>
        <w:rPr>
          <w:rFonts w:hint="eastAsia" w:ascii="宋体" w:hAnsi="宋体"/>
          <w:color w:val="000000" w:themeColor="text1"/>
        </w:rPr>
        <w:t>（1）在递交响应文件截止时间前，采购人可以修改采购文件，修改内容</w:t>
      </w:r>
      <w:r>
        <w:rPr>
          <w:rFonts w:hint="eastAsia" w:ascii="宋体" w:hAnsi="宋体"/>
          <w:bCs/>
          <w:color w:val="000000" w:themeColor="text1"/>
        </w:rPr>
        <w:t>发给</w:t>
      </w:r>
      <w:r>
        <w:rPr>
          <w:rFonts w:hint="eastAsia" w:ascii="宋体" w:hAnsi="宋体"/>
          <w:color w:val="000000" w:themeColor="text1"/>
        </w:rPr>
        <w:t>所有下载采购文件的承包商。</w:t>
      </w:r>
    </w:p>
    <w:p>
      <w:pPr>
        <w:snapToGrid w:val="0"/>
        <w:ind w:firstLine="480" w:firstLineChars="200"/>
        <w:rPr>
          <w:rFonts w:ascii="宋体" w:hAnsi="宋体"/>
          <w:color w:val="000000" w:themeColor="text1"/>
        </w:rPr>
      </w:pPr>
      <w:r>
        <w:rPr>
          <w:rFonts w:hint="eastAsia" w:ascii="宋体" w:hAnsi="宋体"/>
          <w:color w:val="000000" w:themeColor="text1"/>
        </w:rPr>
        <w:t>（2）修改或澄清的内容可能影响响应文件编制的，采购人应当在提交响应文件截止之日2天前，以书面形式通知发给所有下载采购文件的承包商，不足2天的，应当顺延提交响应文件截止时间。</w:t>
      </w:r>
    </w:p>
    <w:p>
      <w:pPr>
        <w:snapToGrid w:val="0"/>
        <w:ind w:firstLine="480" w:firstLineChars="200"/>
        <w:rPr>
          <w:rFonts w:ascii="宋体" w:hAnsi="宋体"/>
          <w:color w:val="000000" w:themeColor="text1"/>
        </w:rPr>
      </w:pPr>
      <w:r>
        <w:rPr>
          <w:rFonts w:hint="eastAsia" w:ascii="宋体" w:hAnsi="宋体"/>
          <w:color w:val="000000" w:themeColor="text1"/>
        </w:rPr>
        <w:t>（3）当采购文件与修改及澄清文件内容不一致时，以修改及澄清文件内容为准。当修改及澄清文件内容前后不一致时，以最后发出的为准。</w:t>
      </w:r>
    </w:p>
    <w:p>
      <w:pPr>
        <w:ind w:firstLine="480" w:firstLineChars="200"/>
        <w:rPr>
          <w:rFonts w:ascii="宋体" w:hAnsi="宋体"/>
          <w:color w:val="000000" w:themeColor="text1"/>
        </w:rPr>
      </w:pPr>
      <w:r>
        <w:rPr>
          <w:rFonts w:hint="eastAsia" w:ascii="宋体" w:hAnsi="宋体"/>
          <w:color w:val="000000" w:themeColor="text1"/>
        </w:rPr>
        <w:t>（4）采购文件的修改及澄清文件格式见附件1。</w:t>
      </w:r>
    </w:p>
    <w:p>
      <w:pPr>
        <w:snapToGrid w:val="0"/>
        <w:ind w:firstLine="480" w:firstLineChars="200"/>
        <w:rPr>
          <w:rFonts w:ascii="宋体" w:hAnsi="宋体"/>
          <w:color w:val="000000" w:themeColor="text1"/>
        </w:rPr>
      </w:pPr>
      <w:r>
        <w:rPr>
          <w:rFonts w:hint="eastAsia" w:ascii="宋体" w:hAnsi="宋体"/>
          <w:color w:val="000000" w:themeColor="text1"/>
        </w:rPr>
        <w:t>1.3报价</w:t>
      </w:r>
    </w:p>
    <w:p>
      <w:pPr>
        <w:snapToGrid w:val="0"/>
        <w:ind w:firstLine="480" w:firstLineChars="200"/>
        <w:rPr>
          <w:rFonts w:ascii="宋体" w:hAnsi="宋体"/>
          <w:color w:val="000000" w:themeColor="text1"/>
        </w:rPr>
      </w:pPr>
      <w:r>
        <w:rPr>
          <w:rFonts w:hint="eastAsia" w:ascii="宋体" w:hAnsi="宋体"/>
          <w:color w:val="000000" w:themeColor="text1"/>
        </w:rPr>
        <w:t>（1）报价方式及合同价款形式：见承包商须知前附表。</w:t>
      </w:r>
    </w:p>
    <w:p>
      <w:pPr>
        <w:snapToGrid w:val="0"/>
        <w:ind w:firstLine="480" w:firstLineChars="200"/>
        <w:rPr>
          <w:rFonts w:ascii="宋体" w:hAnsi="宋体"/>
          <w:color w:val="000000" w:themeColor="text1"/>
        </w:rPr>
      </w:pPr>
      <w:r>
        <w:rPr>
          <w:rFonts w:hint="eastAsia" w:ascii="宋体" w:hAnsi="宋体"/>
          <w:color w:val="000000" w:themeColor="text1"/>
        </w:rPr>
        <w:t>（2）最高限价：</w:t>
      </w:r>
      <w:r>
        <w:rPr>
          <w:rFonts w:ascii="宋体" w:hAnsi="宋体"/>
          <w:color w:val="000000" w:themeColor="text1"/>
        </w:rPr>
        <w:t>见承包商须知前附表</w:t>
      </w:r>
      <w:r>
        <w:rPr>
          <w:rFonts w:hint="eastAsia" w:ascii="宋体" w:hAnsi="宋体"/>
          <w:color w:val="000000" w:themeColor="text1"/>
        </w:rPr>
        <w:t>。</w:t>
      </w:r>
    </w:p>
    <w:p>
      <w:pPr>
        <w:snapToGrid w:val="0"/>
        <w:ind w:firstLine="480" w:firstLineChars="200"/>
        <w:rPr>
          <w:rFonts w:ascii="宋体" w:hAnsi="宋体"/>
          <w:color w:val="000000" w:themeColor="text1"/>
        </w:rPr>
      </w:pPr>
      <w:r>
        <w:rPr>
          <w:rFonts w:hint="eastAsia" w:ascii="宋体" w:hAnsi="宋体"/>
          <w:color w:val="000000" w:themeColor="text1"/>
        </w:rPr>
        <w:t>（3）报价采用的币种：除采购文件另有规定外，采用人民币报价。</w:t>
      </w:r>
    </w:p>
    <w:p>
      <w:pPr>
        <w:snapToGrid w:val="0"/>
        <w:ind w:firstLine="480" w:firstLineChars="200"/>
        <w:rPr>
          <w:rFonts w:ascii="宋体" w:hAnsi="宋体"/>
          <w:color w:val="000000" w:themeColor="text1"/>
        </w:rPr>
      </w:pPr>
      <w:r>
        <w:rPr>
          <w:rFonts w:hint="eastAsia" w:ascii="宋体" w:hAnsi="宋体"/>
          <w:color w:val="000000" w:themeColor="text1"/>
        </w:rPr>
        <w:t>（4）报价的详细说明：</w:t>
      </w:r>
      <w:r>
        <w:rPr>
          <w:rFonts w:ascii="宋体" w:hAnsi="宋体"/>
          <w:color w:val="000000" w:themeColor="text1"/>
        </w:rPr>
        <w:t>见</w:t>
      </w:r>
      <w:r>
        <w:rPr>
          <w:rFonts w:hint="eastAsia" w:ascii="宋体" w:hAnsi="宋体"/>
          <w:color w:val="000000" w:themeColor="text1"/>
        </w:rPr>
        <w:t>第三章“报价说明”内容。</w:t>
      </w:r>
    </w:p>
    <w:bookmarkEnd w:id="30"/>
    <w:bookmarkEnd w:id="31"/>
    <w:bookmarkEnd w:id="32"/>
    <w:p>
      <w:pPr>
        <w:keepNext/>
        <w:keepLines/>
        <w:outlineLvl w:val="1"/>
        <w:rPr>
          <w:rFonts w:ascii="Arial" w:hAnsi="Arial"/>
          <w:b/>
          <w:bCs/>
          <w:color w:val="000000" w:themeColor="text1"/>
          <w:kern w:val="0"/>
          <w:szCs w:val="32"/>
        </w:rPr>
      </w:pPr>
      <w:bookmarkStart w:id="33" w:name="_Toc20642683"/>
      <w:bookmarkStart w:id="34" w:name="_Toc526793296"/>
      <w:r>
        <w:rPr>
          <w:rFonts w:hint="eastAsia" w:ascii="Arial" w:hAnsi="Arial"/>
          <w:b/>
          <w:bCs/>
          <w:color w:val="000000" w:themeColor="text1"/>
          <w:kern w:val="0"/>
          <w:szCs w:val="32"/>
        </w:rPr>
        <w:t>2．响应文件</w:t>
      </w:r>
      <w:bookmarkEnd w:id="33"/>
      <w:bookmarkEnd w:id="34"/>
    </w:p>
    <w:p>
      <w:pPr>
        <w:snapToGrid w:val="0"/>
        <w:ind w:firstLine="480" w:firstLineChars="200"/>
        <w:rPr>
          <w:rFonts w:ascii="宋体" w:hAnsi="宋体"/>
          <w:color w:val="000000" w:themeColor="text1"/>
        </w:rPr>
      </w:pPr>
      <w:r>
        <w:rPr>
          <w:rFonts w:hint="eastAsia" w:ascii="宋体" w:hAnsi="宋体"/>
          <w:color w:val="000000" w:themeColor="text1"/>
        </w:rPr>
        <w:t>2.1响应文件内容：</w:t>
      </w:r>
    </w:p>
    <w:p>
      <w:pPr>
        <w:snapToGrid w:val="0"/>
        <w:ind w:firstLine="480" w:firstLineChars="200"/>
        <w:rPr>
          <w:rFonts w:ascii="宋体" w:hAnsi="宋体"/>
          <w:color w:val="000000" w:themeColor="text1"/>
        </w:rPr>
      </w:pPr>
      <w:r>
        <w:rPr>
          <w:rFonts w:ascii="宋体" w:hAnsi="宋体"/>
          <w:color w:val="000000" w:themeColor="text1"/>
        </w:rPr>
        <w:t>（1）响应文件基本内容见第七章“响应文件格式”要求。承包商</w:t>
      </w:r>
      <w:r>
        <w:rPr>
          <w:rFonts w:hint="eastAsia" w:ascii="宋体" w:hAnsi="宋体"/>
          <w:color w:val="000000" w:themeColor="text1"/>
        </w:rPr>
        <w:t>应</w:t>
      </w:r>
      <w:r>
        <w:rPr>
          <w:rFonts w:ascii="宋体" w:hAnsi="宋体"/>
          <w:color w:val="000000" w:themeColor="text1"/>
        </w:rPr>
        <w:t>编制并提交采购文件所要求提供的各项信息。</w:t>
      </w:r>
    </w:p>
    <w:p>
      <w:pPr>
        <w:snapToGrid w:val="0"/>
        <w:ind w:firstLine="480" w:firstLineChars="200"/>
        <w:rPr>
          <w:rFonts w:ascii="宋体" w:hAnsi="宋体"/>
          <w:color w:val="000000" w:themeColor="text1"/>
        </w:rPr>
      </w:pPr>
      <w:r>
        <w:rPr>
          <w:rFonts w:ascii="宋体" w:hAnsi="宋体"/>
          <w:color w:val="000000" w:themeColor="text1"/>
        </w:rPr>
        <w:t>（2）构成响应文件的其他材料：</w:t>
      </w:r>
      <w:r>
        <w:rPr>
          <w:rFonts w:hint="eastAsia" w:ascii="宋体" w:hAnsi="宋体"/>
          <w:color w:val="000000" w:themeColor="text1"/>
        </w:rPr>
        <w:t>见第七章“响应文件格式”</w:t>
      </w:r>
      <w:r>
        <w:rPr>
          <w:rFonts w:ascii="宋体" w:hAnsi="宋体"/>
          <w:color w:val="000000" w:themeColor="text1"/>
        </w:rPr>
        <w:t>。</w:t>
      </w:r>
    </w:p>
    <w:p>
      <w:pPr>
        <w:snapToGrid w:val="0"/>
        <w:ind w:firstLine="480" w:firstLineChars="200"/>
        <w:rPr>
          <w:rFonts w:ascii="宋体" w:hAnsi="宋体"/>
          <w:color w:val="000000" w:themeColor="text1"/>
        </w:rPr>
      </w:pPr>
      <w:bookmarkStart w:id="35" w:name="_Toc511126389"/>
      <w:bookmarkStart w:id="36" w:name="_Toc514166835"/>
      <w:bookmarkStart w:id="37" w:name="_Toc511142767"/>
      <w:r>
        <w:rPr>
          <w:rFonts w:hint="eastAsia" w:ascii="宋体" w:hAnsi="宋体"/>
          <w:color w:val="000000" w:themeColor="text1"/>
        </w:rPr>
        <w:t>2.2响应文件的</w:t>
      </w:r>
      <w:bookmarkEnd w:id="35"/>
      <w:bookmarkEnd w:id="36"/>
      <w:bookmarkEnd w:id="37"/>
      <w:r>
        <w:rPr>
          <w:rFonts w:hint="eastAsia" w:ascii="宋体" w:hAnsi="宋体"/>
          <w:color w:val="000000" w:themeColor="text1"/>
        </w:rPr>
        <w:t>编制及盖章</w:t>
      </w:r>
    </w:p>
    <w:p>
      <w:pPr>
        <w:snapToGrid w:val="0"/>
        <w:ind w:firstLine="480" w:firstLineChars="200"/>
        <w:rPr>
          <w:rFonts w:ascii="宋体" w:hAnsi="宋体"/>
          <w:color w:val="000000" w:themeColor="text1"/>
        </w:rPr>
      </w:pPr>
      <w:r>
        <w:rPr>
          <w:rFonts w:hint="eastAsia" w:ascii="宋体" w:hAnsi="宋体"/>
          <w:color w:val="000000" w:themeColor="text1"/>
        </w:rPr>
        <w:t>（1）响应文件应按第七章“响应文件格式”内容进行编制。</w:t>
      </w:r>
    </w:p>
    <w:p>
      <w:pPr>
        <w:snapToGrid w:val="0"/>
        <w:ind w:firstLine="480" w:firstLineChars="200"/>
        <w:rPr>
          <w:rFonts w:ascii="宋体" w:hAnsi="宋体"/>
          <w:color w:val="000000" w:themeColor="text1"/>
        </w:rPr>
      </w:pPr>
      <w:r>
        <w:rPr>
          <w:rFonts w:hint="eastAsia" w:ascii="宋体" w:hAnsi="宋体"/>
          <w:color w:val="000000" w:themeColor="text1"/>
        </w:rPr>
        <w:t>（2）响应文件封面、响应函应加盖承包商单位章。纸版文件正本印章不得复印或扫描。</w:t>
      </w:r>
    </w:p>
    <w:p>
      <w:pPr>
        <w:snapToGrid w:val="0"/>
        <w:ind w:firstLine="480" w:firstLineChars="200"/>
        <w:rPr>
          <w:rFonts w:ascii="宋体" w:hAnsi="宋体"/>
          <w:color w:val="000000" w:themeColor="text1"/>
        </w:rPr>
      </w:pPr>
      <w:r>
        <w:rPr>
          <w:rFonts w:hint="eastAsia" w:ascii="宋体" w:hAnsi="宋体"/>
          <w:color w:val="000000" w:themeColor="text1"/>
        </w:rPr>
        <w:t>（3）响应文件的份数见承包商须知前附表。</w:t>
      </w:r>
    </w:p>
    <w:p>
      <w:pPr>
        <w:snapToGrid w:val="0"/>
        <w:ind w:firstLine="480" w:firstLineChars="200"/>
        <w:rPr>
          <w:rFonts w:ascii="宋体" w:hAnsi="宋体"/>
          <w:color w:val="000000" w:themeColor="text1"/>
        </w:rPr>
      </w:pPr>
      <w:r>
        <w:rPr>
          <w:rFonts w:hint="eastAsia" w:ascii="宋体" w:hAnsi="宋体"/>
          <w:color w:val="000000" w:themeColor="text1"/>
        </w:rPr>
        <w:t>2.3响应文件的装订、密封和标记</w:t>
      </w:r>
    </w:p>
    <w:p>
      <w:pPr>
        <w:snapToGrid w:val="0"/>
        <w:ind w:firstLine="480" w:firstLineChars="200"/>
        <w:rPr>
          <w:rFonts w:ascii="宋体" w:hAnsi="宋体"/>
          <w:color w:val="000000" w:themeColor="text1"/>
        </w:rPr>
      </w:pPr>
      <w:r>
        <w:rPr>
          <w:rFonts w:hint="eastAsia" w:ascii="宋体" w:hAnsi="宋体"/>
          <w:color w:val="000000" w:themeColor="text1"/>
        </w:rPr>
        <w:t>（1）响应文件应采用左侧书式胶装方式装订。装订应牢固、不易拆散和换页，不得采用活页装订。</w:t>
      </w:r>
    </w:p>
    <w:p>
      <w:pPr>
        <w:snapToGrid w:val="0"/>
        <w:ind w:firstLine="480" w:firstLineChars="200"/>
        <w:rPr>
          <w:rFonts w:ascii="宋体" w:hAnsi="宋体"/>
          <w:color w:val="000000" w:themeColor="text1"/>
        </w:rPr>
      </w:pPr>
      <w:r>
        <w:rPr>
          <w:rFonts w:hint="eastAsia" w:ascii="宋体" w:hAnsi="宋体"/>
          <w:color w:val="000000" w:themeColor="text1"/>
        </w:rPr>
        <w:t>（2）纸版和电子响应文件可以密封、包装在一起。</w:t>
      </w:r>
      <w:r>
        <w:rPr>
          <w:rFonts w:ascii="宋体" w:hAnsi="宋体"/>
          <w:color w:val="000000" w:themeColor="text1"/>
        </w:rPr>
        <w:t>密封封口处加贴封条，在封条与包装面的骑缝处加盖承包商</w:t>
      </w:r>
      <w:r>
        <w:rPr>
          <w:rFonts w:hint="eastAsia" w:ascii="宋体" w:hAnsi="宋体"/>
          <w:color w:val="000000" w:themeColor="text1"/>
        </w:rPr>
        <w:t>单位章，</w:t>
      </w:r>
      <w:r>
        <w:rPr>
          <w:rFonts w:ascii="宋体" w:hAnsi="宋体"/>
          <w:color w:val="000000" w:themeColor="text1"/>
        </w:rPr>
        <w:t>或由法定代表人或委托代理人签字</w:t>
      </w:r>
      <w:r>
        <w:rPr>
          <w:rFonts w:hint="eastAsia" w:ascii="宋体" w:hAnsi="宋体"/>
          <w:color w:val="000000" w:themeColor="text1"/>
        </w:rPr>
        <w:t>。</w:t>
      </w:r>
    </w:p>
    <w:p>
      <w:pPr>
        <w:snapToGrid w:val="0"/>
        <w:ind w:firstLine="480" w:firstLineChars="200"/>
        <w:rPr>
          <w:rFonts w:ascii="宋体" w:hAnsi="宋体"/>
          <w:color w:val="000000" w:themeColor="text1"/>
        </w:rPr>
      </w:pPr>
      <w:r>
        <w:rPr>
          <w:rFonts w:hint="eastAsia" w:ascii="宋体" w:hAnsi="宋体"/>
          <w:color w:val="000000" w:themeColor="text1"/>
        </w:rPr>
        <w:t>（3）响应文件的封套上应写明：</w:t>
      </w:r>
      <w:r>
        <w:rPr>
          <w:rFonts w:ascii="宋体" w:hAnsi="宋体"/>
          <w:color w:val="000000" w:themeColor="text1"/>
        </w:rPr>
        <w:t>采购人名称、</w:t>
      </w:r>
      <w:r>
        <w:rPr>
          <w:rFonts w:hint="eastAsia" w:ascii="宋体" w:hAnsi="宋体"/>
          <w:color w:val="000000" w:themeColor="text1"/>
        </w:rPr>
        <w:t>采购项目类别、标段名称（若划分标段）、承包商名称</w:t>
      </w:r>
      <w:r>
        <w:rPr>
          <w:rFonts w:hint="eastAsia" w:ascii="宋体" w:hAnsi="宋体"/>
          <w:color w:val="000000" w:themeColor="text1"/>
          <w:spacing w:val="-6"/>
        </w:rPr>
        <w:t>。</w:t>
      </w:r>
    </w:p>
    <w:p>
      <w:pPr>
        <w:snapToGrid w:val="0"/>
        <w:ind w:firstLine="480" w:firstLineChars="200"/>
        <w:rPr>
          <w:rFonts w:ascii="宋体" w:hAnsi="宋体"/>
          <w:color w:val="000000" w:themeColor="text1"/>
        </w:rPr>
      </w:pPr>
      <w:r>
        <w:rPr>
          <w:rFonts w:hint="eastAsia" w:ascii="宋体" w:hAnsi="宋体"/>
          <w:color w:val="000000" w:themeColor="text1"/>
        </w:rPr>
        <w:t>2.4响应文件的递交与接收</w:t>
      </w:r>
    </w:p>
    <w:p>
      <w:pPr>
        <w:snapToGrid w:val="0"/>
        <w:ind w:firstLine="480" w:firstLineChars="200"/>
        <w:rPr>
          <w:rFonts w:ascii="宋体" w:hAnsi="宋体" w:cs="Arial"/>
          <w:iCs/>
          <w:color w:val="000000" w:themeColor="text1"/>
          <w:szCs w:val="28"/>
        </w:rPr>
      </w:pPr>
      <w:r>
        <w:rPr>
          <w:rFonts w:hint="eastAsia" w:ascii="宋体" w:hAnsi="宋体"/>
          <w:color w:val="000000" w:themeColor="text1"/>
        </w:rPr>
        <w:t>（1）承包商应按照第一章“采购公告”（或采购文件的修改及澄清文件）规定的响应文件递交时间、地址、场所</w:t>
      </w:r>
      <w:r>
        <w:rPr>
          <w:rFonts w:hint="eastAsia" w:ascii="宋体" w:hAnsi="宋体" w:cs="Arial"/>
          <w:iCs/>
          <w:color w:val="000000" w:themeColor="text1"/>
          <w:szCs w:val="28"/>
        </w:rPr>
        <w:t>递交响应文件。</w:t>
      </w:r>
    </w:p>
    <w:p>
      <w:pPr>
        <w:snapToGrid w:val="0"/>
        <w:ind w:firstLine="480" w:firstLineChars="200"/>
        <w:rPr>
          <w:rFonts w:ascii="宋体" w:hAnsi="宋体" w:cs="Arial"/>
          <w:iCs/>
          <w:color w:val="000000" w:themeColor="text1"/>
          <w:szCs w:val="28"/>
        </w:rPr>
      </w:pPr>
      <w:r>
        <w:rPr>
          <w:rFonts w:hint="eastAsia" w:ascii="宋体" w:hAnsi="宋体" w:cs="Arial"/>
          <w:iCs/>
          <w:color w:val="000000" w:themeColor="text1"/>
          <w:szCs w:val="28"/>
        </w:rPr>
        <w:t>（2）响应文件递交方式见承包商须知前附表。</w:t>
      </w:r>
    </w:p>
    <w:p>
      <w:pPr>
        <w:snapToGrid w:val="0"/>
        <w:ind w:firstLine="480" w:firstLineChars="200"/>
        <w:rPr>
          <w:rFonts w:ascii="宋体" w:hAnsi="宋体"/>
          <w:color w:val="000000" w:themeColor="text1"/>
        </w:rPr>
      </w:pPr>
      <w:r>
        <w:rPr>
          <w:rFonts w:hint="eastAsia" w:ascii="宋体" w:hAnsi="宋体"/>
          <w:color w:val="000000" w:themeColor="text1"/>
        </w:rPr>
        <w:t>（3）承包商递交的响应文件不予退还。</w:t>
      </w:r>
    </w:p>
    <w:p>
      <w:pPr>
        <w:snapToGrid w:val="0"/>
        <w:ind w:firstLine="480" w:firstLineChars="200"/>
        <w:rPr>
          <w:rFonts w:ascii="宋体" w:hAnsi="宋体"/>
          <w:color w:val="000000" w:themeColor="text1"/>
        </w:rPr>
      </w:pPr>
      <w:r>
        <w:rPr>
          <w:rFonts w:hint="eastAsia" w:ascii="宋体" w:hAnsi="宋体"/>
          <w:color w:val="000000" w:themeColor="text1"/>
        </w:rPr>
        <w:t>（4）采购人或招标代理机构应如实记载响应文件的送达时间和密封情况，并存档备查。响应文件接收记录表格式见附件2，响应文件汇总表格式见附件3。</w:t>
      </w:r>
    </w:p>
    <w:p>
      <w:pPr>
        <w:snapToGrid w:val="0"/>
        <w:ind w:firstLine="480" w:firstLineChars="200"/>
        <w:rPr>
          <w:rFonts w:ascii="宋体" w:hAnsi="宋体"/>
          <w:color w:val="000000" w:themeColor="text1"/>
        </w:rPr>
      </w:pPr>
      <w:r>
        <w:rPr>
          <w:rFonts w:hint="eastAsia" w:ascii="宋体" w:hAnsi="宋体"/>
          <w:color w:val="000000" w:themeColor="text1"/>
        </w:rPr>
        <w:t>2</w:t>
      </w:r>
      <w:r>
        <w:rPr>
          <w:rFonts w:ascii="宋体" w:hAnsi="宋体"/>
          <w:color w:val="000000" w:themeColor="text1"/>
        </w:rPr>
        <w:t>.</w:t>
      </w:r>
      <w:r>
        <w:rPr>
          <w:rFonts w:hint="eastAsia" w:ascii="宋体" w:hAnsi="宋体"/>
          <w:color w:val="000000" w:themeColor="text1"/>
        </w:rPr>
        <w:t>5响应文件的拒收</w:t>
      </w:r>
    </w:p>
    <w:p>
      <w:pPr>
        <w:snapToGrid w:val="0"/>
        <w:ind w:firstLine="480" w:firstLineChars="200"/>
        <w:rPr>
          <w:rFonts w:ascii="宋体" w:hAnsi="宋体"/>
          <w:color w:val="000000" w:themeColor="text1"/>
          <w:szCs w:val="21"/>
        </w:rPr>
      </w:pPr>
      <w:r>
        <w:rPr>
          <w:rFonts w:hint="eastAsia" w:ascii="宋体" w:hAnsi="宋体"/>
          <w:color w:val="000000" w:themeColor="text1"/>
          <w:szCs w:val="21"/>
        </w:rPr>
        <w:t>响应文件有下列情况之一的，采购人拒收：</w:t>
      </w:r>
    </w:p>
    <w:p>
      <w:pPr>
        <w:snapToGrid w:val="0"/>
        <w:ind w:firstLine="480" w:firstLineChars="200"/>
        <w:rPr>
          <w:rFonts w:ascii="宋体" w:hAnsi="宋体"/>
          <w:color w:val="000000" w:themeColor="text1"/>
        </w:rPr>
      </w:pPr>
      <w:r>
        <w:rPr>
          <w:rFonts w:hint="eastAsia" w:ascii="宋体" w:hAnsi="宋体"/>
          <w:color w:val="000000" w:themeColor="text1"/>
        </w:rPr>
        <w:t>（1）未按本章第2</w:t>
      </w:r>
      <w:r>
        <w:rPr>
          <w:rFonts w:ascii="宋体" w:hAnsi="宋体"/>
          <w:color w:val="000000" w:themeColor="text1"/>
        </w:rPr>
        <w:t>.</w:t>
      </w:r>
      <w:r>
        <w:rPr>
          <w:rFonts w:hint="eastAsia" w:ascii="宋体" w:hAnsi="宋体"/>
          <w:color w:val="000000" w:themeColor="text1"/>
        </w:rPr>
        <w:t>3（2）项、第2.3（3）项要求密封和加写标记。</w:t>
      </w:r>
    </w:p>
    <w:p>
      <w:pPr>
        <w:snapToGrid w:val="0"/>
        <w:ind w:firstLine="480" w:firstLineChars="200"/>
        <w:rPr>
          <w:rFonts w:ascii="宋体" w:hAnsi="宋体"/>
          <w:color w:val="000000" w:themeColor="text1"/>
        </w:rPr>
      </w:pPr>
      <w:r>
        <w:rPr>
          <w:rFonts w:hint="eastAsia" w:ascii="宋体" w:hAnsi="宋体"/>
          <w:color w:val="000000" w:themeColor="text1"/>
        </w:rPr>
        <w:t>（2）逾期送达或者未送达指定地址、场所。</w:t>
      </w:r>
    </w:p>
    <w:p>
      <w:pPr>
        <w:snapToGrid w:val="0"/>
        <w:ind w:firstLine="480" w:firstLineChars="200"/>
        <w:rPr>
          <w:rFonts w:ascii="宋体" w:hAnsi="宋体"/>
          <w:color w:val="000000" w:themeColor="text1"/>
        </w:rPr>
      </w:pPr>
      <w:r>
        <w:rPr>
          <w:rFonts w:hint="eastAsia" w:ascii="宋体" w:hAnsi="宋体"/>
          <w:color w:val="000000" w:themeColor="text1"/>
        </w:rPr>
        <w:t>2.6响应文件的修改或补充</w:t>
      </w:r>
    </w:p>
    <w:p>
      <w:pPr>
        <w:snapToGrid w:val="0"/>
        <w:ind w:firstLine="480" w:firstLineChars="200"/>
        <w:rPr>
          <w:rFonts w:ascii="宋体" w:hAnsi="宋体"/>
          <w:color w:val="000000" w:themeColor="text1"/>
        </w:rPr>
      </w:pPr>
      <w:r>
        <w:rPr>
          <w:rFonts w:hint="eastAsia" w:ascii="宋体" w:hAnsi="宋体"/>
          <w:color w:val="000000" w:themeColor="text1"/>
        </w:rPr>
        <w:t>（1）在规定的递交截止时间前，承包商可以对已递交的响应文件进行修改或补充。</w:t>
      </w:r>
    </w:p>
    <w:p>
      <w:pPr>
        <w:snapToGrid w:val="0"/>
        <w:ind w:firstLine="480" w:firstLineChars="200"/>
        <w:rPr>
          <w:rFonts w:ascii="宋体" w:hAnsi="宋体"/>
          <w:color w:val="000000" w:themeColor="text1"/>
        </w:rPr>
      </w:pPr>
      <w:r>
        <w:rPr>
          <w:rFonts w:hint="eastAsia" w:ascii="宋体" w:hAnsi="宋体"/>
          <w:color w:val="000000" w:themeColor="text1"/>
        </w:rPr>
        <w:t>（2）修改或补充文件为响应文件的组成部分。修改或补充文件应加盖承包商单位章。当已递交的响应文件与修改或补充文件内容不一致时，以修改或补充文件内容为准。当修改或补充文件内容前后不一致时，以最后的为准。</w:t>
      </w:r>
    </w:p>
    <w:p>
      <w:pPr>
        <w:snapToGrid w:val="0"/>
        <w:ind w:firstLine="480" w:firstLineChars="200"/>
        <w:rPr>
          <w:rFonts w:ascii="宋体" w:hAnsi="宋体"/>
          <w:color w:val="000000" w:themeColor="text1"/>
        </w:rPr>
      </w:pPr>
      <w:r>
        <w:rPr>
          <w:rFonts w:hint="eastAsia" w:ascii="宋体" w:hAnsi="宋体"/>
          <w:color w:val="000000" w:themeColor="text1"/>
        </w:rPr>
        <w:t>（3）响应文件的修改或补充文件应按照本章相关规定进行装订、密封、签章、标记和递交，并标明“修改”或“补充”字样。</w:t>
      </w:r>
    </w:p>
    <w:p>
      <w:pPr>
        <w:snapToGrid w:val="0"/>
        <w:ind w:firstLine="480" w:firstLineChars="200"/>
        <w:rPr>
          <w:rFonts w:ascii="宋体" w:hAnsi="宋体"/>
          <w:color w:val="000000" w:themeColor="text1"/>
        </w:rPr>
      </w:pPr>
      <w:r>
        <w:rPr>
          <w:rFonts w:hint="eastAsia" w:ascii="宋体" w:hAnsi="宋体"/>
          <w:color w:val="000000" w:themeColor="text1"/>
        </w:rPr>
        <w:t>（4）若重新编制并递交响应文件，承包商应收回已递交的响应文件。</w:t>
      </w:r>
    </w:p>
    <w:p>
      <w:pPr>
        <w:snapToGrid w:val="0"/>
        <w:ind w:firstLine="480" w:firstLineChars="200"/>
        <w:rPr>
          <w:rFonts w:ascii="宋体" w:hAnsi="宋体"/>
          <w:color w:val="000000" w:themeColor="text1"/>
        </w:rPr>
      </w:pPr>
      <w:r>
        <w:rPr>
          <w:rFonts w:hint="eastAsia" w:ascii="宋体" w:hAnsi="宋体"/>
          <w:color w:val="000000" w:themeColor="text1"/>
        </w:rPr>
        <w:t>（5）采购人应如实记载修改或补充文件或新的响应文件的送达时间、密封情况，已递交响应文件的收回时间、份数，以及递交、收回人姓名等。</w:t>
      </w:r>
    </w:p>
    <w:p>
      <w:pPr>
        <w:snapToGrid w:val="0"/>
        <w:ind w:firstLine="480" w:firstLineChars="200"/>
        <w:rPr>
          <w:rFonts w:ascii="宋体" w:hAnsi="宋体"/>
          <w:color w:val="000000" w:themeColor="text1"/>
        </w:rPr>
      </w:pPr>
      <w:r>
        <w:rPr>
          <w:rFonts w:hint="eastAsia" w:ascii="宋体" w:hAnsi="宋体"/>
          <w:color w:val="000000" w:themeColor="text1"/>
        </w:rPr>
        <w:t>2.7响应文件的撤回</w:t>
      </w:r>
    </w:p>
    <w:p>
      <w:pPr>
        <w:snapToGrid w:val="0"/>
        <w:ind w:firstLine="480" w:firstLineChars="200"/>
        <w:rPr>
          <w:rFonts w:ascii="宋体" w:hAnsi="宋体"/>
          <w:color w:val="000000" w:themeColor="text1"/>
        </w:rPr>
      </w:pPr>
      <w:r>
        <w:rPr>
          <w:rFonts w:hint="eastAsia" w:ascii="宋体" w:hAnsi="宋体"/>
          <w:color w:val="000000" w:themeColor="text1"/>
        </w:rPr>
        <w:t>（1）在规定的递交截止时间前，承包商可以撤回已递交的响应文件，但应以书面形式通知采购人。</w:t>
      </w:r>
    </w:p>
    <w:p>
      <w:pPr>
        <w:snapToGrid w:val="0"/>
        <w:ind w:firstLine="480" w:firstLineChars="200"/>
        <w:rPr>
          <w:rFonts w:ascii="宋体" w:hAnsi="宋体"/>
          <w:color w:val="000000" w:themeColor="text1"/>
        </w:rPr>
      </w:pPr>
      <w:r>
        <w:rPr>
          <w:rFonts w:hint="eastAsia" w:ascii="宋体" w:hAnsi="宋体"/>
          <w:color w:val="000000" w:themeColor="text1"/>
        </w:rPr>
        <w:t>（2）承包商撤回已递交响应文件的书面通知应加盖承包商单位章。采购人收到书面通知后，向承包商出具签收凭证。</w:t>
      </w:r>
    </w:p>
    <w:p>
      <w:pPr>
        <w:snapToGrid w:val="0"/>
        <w:ind w:firstLine="480" w:firstLineChars="200"/>
        <w:rPr>
          <w:rFonts w:ascii="宋体" w:hAnsi="宋体"/>
          <w:color w:val="000000" w:themeColor="text1"/>
        </w:rPr>
      </w:pPr>
      <w:r>
        <w:rPr>
          <w:rFonts w:hint="eastAsia" w:ascii="宋体" w:hAnsi="宋体"/>
          <w:color w:val="000000" w:themeColor="text1"/>
        </w:rPr>
        <w:t>（3）承包商撤回响应文件的，采购人自收到承包商书面撤回通知之日起5日内退还已收取的响应保证金。</w:t>
      </w:r>
    </w:p>
    <w:p>
      <w:pPr>
        <w:snapToGrid w:val="0"/>
        <w:ind w:firstLine="480" w:firstLineChars="200"/>
        <w:rPr>
          <w:rFonts w:ascii="宋体" w:hAnsi="宋体"/>
          <w:color w:val="000000" w:themeColor="text1"/>
        </w:rPr>
      </w:pPr>
      <w:r>
        <w:rPr>
          <w:rFonts w:hint="eastAsia" w:ascii="宋体" w:hAnsi="宋体"/>
          <w:color w:val="000000" w:themeColor="text1"/>
        </w:rPr>
        <w:t>（4）在现场进行响应文件的递交、收回、撤回时，相关人员应向采购人或招标代理机构提交法定代表人身份证明或授权委托书原件，采购人或招标代理机构应保存该原件。</w:t>
      </w:r>
    </w:p>
    <w:p>
      <w:pPr>
        <w:snapToGrid w:val="0"/>
        <w:ind w:firstLine="480" w:firstLineChars="200"/>
        <w:rPr>
          <w:rFonts w:ascii="宋体" w:hAnsi="宋体"/>
          <w:color w:val="000000" w:themeColor="text1"/>
        </w:rPr>
      </w:pPr>
      <w:r>
        <w:rPr>
          <w:rFonts w:hint="eastAsia" w:ascii="宋体" w:hAnsi="宋体"/>
          <w:color w:val="000000" w:themeColor="text1"/>
        </w:rPr>
        <w:t>2.8响应文件密封检查与拆封</w:t>
      </w:r>
    </w:p>
    <w:p>
      <w:pPr>
        <w:snapToGrid w:val="0"/>
        <w:ind w:firstLine="480" w:firstLineChars="200"/>
        <w:rPr>
          <w:rFonts w:ascii="宋体" w:hAnsi="宋体"/>
          <w:color w:val="000000" w:themeColor="text1"/>
        </w:rPr>
      </w:pPr>
      <w:r>
        <w:rPr>
          <w:rFonts w:hint="eastAsia" w:ascii="宋体" w:hAnsi="宋体"/>
          <w:color w:val="000000" w:themeColor="text1"/>
        </w:rPr>
        <w:t>（1）评审预备会议主持人应请评审小组成员等检查核实响应文件的密封情况并如实记录检查核实结果。</w:t>
      </w:r>
      <w:r>
        <w:rPr>
          <w:rFonts w:hint="eastAsia" w:ascii="宋体" w:hAnsi="宋体"/>
          <w:bCs/>
          <w:color w:val="000000" w:themeColor="text1"/>
          <w:kern w:val="0"/>
        </w:rPr>
        <w:t>响应文件密封核实表</w:t>
      </w:r>
      <w:r>
        <w:rPr>
          <w:rFonts w:hint="eastAsia" w:ascii="宋体" w:hAnsi="宋体"/>
          <w:color w:val="000000" w:themeColor="text1"/>
        </w:rPr>
        <w:t>格式见附件4。</w:t>
      </w:r>
    </w:p>
    <w:p>
      <w:pPr>
        <w:snapToGrid w:val="0"/>
        <w:ind w:firstLine="480" w:firstLineChars="200"/>
        <w:rPr>
          <w:rFonts w:ascii="宋体" w:hAnsi="宋体"/>
          <w:color w:val="000000" w:themeColor="text1"/>
        </w:rPr>
      </w:pPr>
      <w:r>
        <w:rPr>
          <w:rFonts w:hint="eastAsia" w:ascii="宋体" w:hAnsi="宋体"/>
          <w:color w:val="000000" w:themeColor="text1"/>
        </w:rPr>
        <w:t>（2）经评审小组确认密封符合采购文件的规定后，工作人员开启密封包装，并对响应文件进行登记。响应文件登记表格式见附件5。</w:t>
      </w:r>
    </w:p>
    <w:p>
      <w:pPr>
        <w:keepNext/>
        <w:keepLines/>
        <w:outlineLvl w:val="1"/>
        <w:rPr>
          <w:rFonts w:ascii="Arial" w:hAnsi="Arial"/>
          <w:b/>
          <w:bCs/>
          <w:color w:val="000000" w:themeColor="text1"/>
          <w:kern w:val="0"/>
          <w:szCs w:val="32"/>
        </w:rPr>
      </w:pPr>
      <w:bookmarkStart w:id="38" w:name="_Toc20642684"/>
      <w:bookmarkStart w:id="39" w:name="_Toc526793297"/>
      <w:r>
        <w:rPr>
          <w:rFonts w:hint="eastAsia" w:ascii="Arial" w:hAnsi="Arial"/>
          <w:b/>
          <w:bCs/>
          <w:color w:val="000000" w:themeColor="text1"/>
          <w:kern w:val="0"/>
          <w:szCs w:val="32"/>
        </w:rPr>
        <w:t>3. 响应保证金</w:t>
      </w:r>
      <w:bookmarkEnd w:id="38"/>
      <w:bookmarkEnd w:id="39"/>
    </w:p>
    <w:p>
      <w:pPr>
        <w:snapToGrid w:val="0"/>
        <w:ind w:firstLine="480" w:firstLineChars="200"/>
        <w:rPr>
          <w:rFonts w:ascii="宋体" w:hAnsi="宋体"/>
          <w:color w:val="000000" w:themeColor="text1"/>
        </w:rPr>
      </w:pPr>
      <w:r>
        <w:rPr>
          <w:rFonts w:hint="eastAsia" w:ascii="宋体" w:hAnsi="宋体"/>
          <w:color w:val="000000" w:themeColor="text1"/>
        </w:rPr>
        <w:t>无</w:t>
      </w:r>
    </w:p>
    <w:p>
      <w:pPr>
        <w:keepNext/>
        <w:keepLines/>
        <w:outlineLvl w:val="1"/>
        <w:rPr>
          <w:rFonts w:ascii="宋体" w:hAnsi="宋体"/>
          <w:strike/>
          <w:color w:val="000000" w:themeColor="text1"/>
        </w:rPr>
      </w:pPr>
      <w:bookmarkStart w:id="40" w:name="_Toc20642685"/>
      <w:r>
        <w:rPr>
          <w:rFonts w:hint="eastAsia" w:ascii="Arial" w:hAnsi="Arial"/>
          <w:b/>
          <w:color w:val="000000" w:themeColor="text1"/>
          <w:kern w:val="0"/>
          <w:szCs w:val="32"/>
        </w:rPr>
        <w:t>4．响应文件评审与签订合同</w:t>
      </w:r>
      <w:bookmarkEnd w:id="40"/>
    </w:p>
    <w:p>
      <w:pPr>
        <w:snapToGrid w:val="0"/>
        <w:ind w:firstLine="480" w:firstLineChars="200"/>
        <w:rPr>
          <w:rFonts w:ascii="宋体" w:hAnsi="宋体"/>
          <w:color w:val="000000" w:themeColor="text1"/>
        </w:rPr>
      </w:pPr>
      <w:r>
        <w:rPr>
          <w:rFonts w:hint="eastAsia" w:ascii="宋体" w:hAnsi="宋体"/>
          <w:color w:val="000000" w:themeColor="text1"/>
        </w:rPr>
        <w:t>4.1评审</w:t>
      </w:r>
    </w:p>
    <w:p>
      <w:pPr>
        <w:snapToGrid w:val="0"/>
        <w:ind w:firstLine="480" w:firstLineChars="200"/>
        <w:rPr>
          <w:rFonts w:ascii="宋体" w:hAnsi="宋体"/>
          <w:color w:val="000000" w:themeColor="text1"/>
        </w:rPr>
      </w:pPr>
      <w:r>
        <w:rPr>
          <w:rFonts w:hint="eastAsia" w:ascii="宋体" w:hAnsi="宋体"/>
          <w:color w:val="000000" w:themeColor="text1"/>
        </w:rPr>
        <w:t>（1）评审程序及评审标准等见第四章“评审办法”。</w:t>
      </w:r>
    </w:p>
    <w:p>
      <w:pPr>
        <w:snapToGrid w:val="0"/>
        <w:ind w:firstLine="480" w:firstLineChars="200"/>
        <w:rPr>
          <w:rFonts w:ascii="宋体" w:hAnsi="宋体"/>
          <w:color w:val="000000" w:themeColor="text1"/>
        </w:rPr>
      </w:pPr>
      <w:r>
        <w:rPr>
          <w:rFonts w:hint="eastAsia" w:ascii="宋体" w:hAnsi="宋体"/>
          <w:color w:val="000000" w:themeColor="text1"/>
        </w:rPr>
        <w:t>（2）评审小组按照第四章“评审办法”规定的方法、评审因素、计分标准和程序对响应文件进行评审。</w:t>
      </w:r>
    </w:p>
    <w:p>
      <w:pPr>
        <w:snapToGrid w:val="0"/>
        <w:ind w:firstLine="480" w:firstLineChars="200"/>
        <w:rPr>
          <w:rFonts w:ascii="宋体" w:hAnsi="宋体"/>
          <w:color w:val="000000" w:themeColor="text1"/>
        </w:rPr>
      </w:pPr>
      <w:r>
        <w:rPr>
          <w:rFonts w:hint="eastAsia" w:ascii="宋体" w:hAnsi="宋体"/>
          <w:color w:val="000000" w:themeColor="text1"/>
        </w:rPr>
        <w:t>4.2成交</w:t>
      </w:r>
    </w:p>
    <w:p>
      <w:pPr>
        <w:snapToGrid w:val="0"/>
        <w:ind w:firstLine="480" w:firstLineChars="200"/>
        <w:rPr>
          <w:rFonts w:ascii="宋体" w:hAnsi="宋体"/>
          <w:color w:val="000000" w:themeColor="text1"/>
        </w:rPr>
      </w:pPr>
      <w:r>
        <w:rPr>
          <w:rFonts w:hint="eastAsia" w:ascii="宋体" w:hAnsi="宋体"/>
          <w:color w:val="000000" w:themeColor="text1"/>
        </w:rPr>
        <w:t>（1）采购人确定排名第一和第二的成交候选人为成交人。排名第二的成交人成交通知书约定的优惠率按照第一成交人的优惠率执行，排名第一或第二的成交候选人放弃成交、因不可抗力不能签订或履行合同、不按照采购文件要求提交履约保证金，或者被查实存在影响采购结果的违法违规行为等情形，不符合成交条件的，或成交人拒绝签订合同的，采购人可以按照评审小组提出的成交候选人名单排序依次确定其他成交候选人为成交人，也可以重新采购。</w:t>
      </w:r>
    </w:p>
    <w:p>
      <w:pPr>
        <w:snapToGrid w:val="0"/>
        <w:ind w:firstLine="480" w:firstLineChars="200"/>
        <w:rPr>
          <w:rFonts w:ascii="宋体" w:hAnsi="宋体"/>
          <w:color w:val="000000" w:themeColor="text1"/>
        </w:rPr>
      </w:pPr>
      <w:r>
        <w:rPr>
          <w:rFonts w:hint="eastAsia" w:ascii="宋体" w:hAnsi="宋体"/>
          <w:color w:val="000000" w:themeColor="text1"/>
        </w:rPr>
        <w:t>（2）采购人未选定评审小组确定的排名第一和第二的成交候选人为成交人的，采购人应当按照《中国石化建设工程招标投标管理规定》履行内控审批程序并说明原因。</w:t>
      </w:r>
    </w:p>
    <w:p>
      <w:pPr>
        <w:snapToGrid w:val="0"/>
        <w:ind w:firstLine="480" w:firstLineChars="200"/>
        <w:rPr>
          <w:rFonts w:ascii="宋体" w:hAnsi="宋体"/>
          <w:color w:val="000000" w:themeColor="text1"/>
        </w:rPr>
      </w:pPr>
      <w:r>
        <w:rPr>
          <w:rFonts w:hint="eastAsia" w:ascii="宋体" w:hAnsi="宋体"/>
          <w:color w:val="000000" w:themeColor="text1"/>
        </w:rPr>
        <w:t>（3）若本采购项目划分为多个标段时，各标段成交候选人的推荐规定见承包商须知前附表。</w:t>
      </w:r>
    </w:p>
    <w:p>
      <w:pPr>
        <w:snapToGrid w:val="0"/>
        <w:ind w:firstLine="480" w:firstLineChars="200"/>
        <w:rPr>
          <w:rFonts w:ascii="宋体" w:hAnsi="宋体"/>
          <w:color w:val="000000" w:themeColor="text1"/>
        </w:rPr>
      </w:pPr>
      <w:r>
        <w:rPr>
          <w:rFonts w:hint="eastAsia" w:ascii="宋体" w:hAnsi="宋体"/>
          <w:color w:val="000000" w:themeColor="text1"/>
        </w:rPr>
        <w:t>4.3签订合同</w:t>
      </w:r>
    </w:p>
    <w:p>
      <w:pPr>
        <w:snapToGrid w:val="0"/>
        <w:ind w:firstLine="480" w:firstLineChars="200"/>
        <w:rPr>
          <w:rFonts w:ascii="宋体" w:hAnsi="宋体"/>
          <w:color w:val="000000" w:themeColor="text1"/>
        </w:rPr>
      </w:pPr>
      <w:r>
        <w:rPr>
          <w:rFonts w:hint="eastAsia" w:ascii="宋体" w:hAnsi="宋体"/>
          <w:color w:val="000000" w:themeColor="text1"/>
        </w:rPr>
        <w:t>（1）采购人与成交人应当在成交通知书（格式见附件6）发出之日起10日内，按照采购文件确定的合同文本以及采购标的、成交金额、技术和服务要求等事项签订合同。</w:t>
      </w:r>
    </w:p>
    <w:p>
      <w:pPr>
        <w:ind w:firstLine="465"/>
        <w:rPr>
          <w:color w:val="000000" w:themeColor="text1"/>
        </w:rPr>
      </w:pPr>
      <w:r>
        <w:rPr>
          <w:rFonts w:hint="eastAsia"/>
          <w:color w:val="000000" w:themeColor="text1"/>
        </w:rPr>
        <w:t>采购人向成交人发出成交通知书的同时，应向未成交人发出成交结果通知书（格式见本章附件7）。</w:t>
      </w:r>
    </w:p>
    <w:p>
      <w:pPr>
        <w:snapToGrid w:val="0"/>
        <w:ind w:firstLine="480" w:firstLineChars="200"/>
        <w:rPr>
          <w:rFonts w:ascii="宋体" w:hAnsi="宋体"/>
          <w:color w:val="000000" w:themeColor="text1"/>
        </w:rPr>
      </w:pPr>
      <w:r>
        <w:rPr>
          <w:rFonts w:hint="eastAsia" w:ascii="宋体" w:hAnsi="宋体"/>
          <w:color w:val="000000" w:themeColor="text1"/>
        </w:rPr>
        <w:t>（2）除不可抗力等因素外，成交通知书发出后，成交人拒绝签采购合同的，应当承担相应责任，并不得参加对该项目重新开展的采购活动。</w:t>
      </w:r>
    </w:p>
    <w:p>
      <w:pPr>
        <w:snapToGrid w:val="0"/>
        <w:ind w:firstLine="480" w:firstLineChars="200"/>
        <w:rPr>
          <w:rFonts w:ascii="宋体" w:hAnsi="宋体"/>
          <w:color w:val="000000" w:themeColor="text1"/>
        </w:rPr>
      </w:pPr>
      <w:r>
        <w:rPr>
          <w:rFonts w:hint="eastAsia" w:ascii="宋体" w:hAnsi="宋体"/>
          <w:color w:val="000000" w:themeColor="text1"/>
        </w:rPr>
        <w:t>4.4履约保证金</w:t>
      </w:r>
    </w:p>
    <w:p>
      <w:pPr>
        <w:snapToGrid w:val="0"/>
        <w:ind w:firstLine="480" w:firstLineChars="200"/>
        <w:rPr>
          <w:rFonts w:ascii="宋体" w:hAnsi="宋体"/>
          <w:color w:val="000000" w:themeColor="text1"/>
        </w:rPr>
      </w:pPr>
      <w:r>
        <w:rPr>
          <w:rFonts w:hint="eastAsia" w:ascii="宋体" w:hAnsi="宋体"/>
          <w:color w:val="000000" w:themeColor="text1"/>
        </w:rPr>
        <w:t>无</w:t>
      </w:r>
    </w:p>
    <w:p>
      <w:pPr>
        <w:keepNext/>
        <w:keepLines/>
        <w:outlineLvl w:val="1"/>
        <w:rPr>
          <w:rFonts w:ascii="Arial" w:hAnsi="Arial"/>
          <w:b/>
          <w:bCs/>
          <w:color w:val="000000" w:themeColor="text1"/>
          <w:kern w:val="0"/>
          <w:szCs w:val="32"/>
        </w:rPr>
      </w:pPr>
      <w:bookmarkStart w:id="41" w:name="_Toc526793299"/>
      <w:bookmarkStart w:id="42" w:name="_Toc20642686"/>
      <w:r>
        <w:rPr>
          <w:rFonts w:hint="eastAsia" w:ascii="Arial" w:hAnsi="Arial"/>
          <w:b/>
          <w:bCs/>
          <w:color w:val="000000" w:themeColor="text1"/>
          <w:kern w:val="0"/>
          <w:szCs w:val="32"/>
        </w:rPr>
        <w:t>5．异议和</w:t>
      </w:r>
      <w:bookmarkEnd w:id="41"/>
      <w:r>
        <w:rPr>
          <w:rFonts w:hint="eastAsia" w:ascii="Arial" w:hAnsi="Arial"/>
          <w:b/>
          <w:bCs/>
          <w:color w:val="000000" w:themeColor="text1"/>
          <w:kern w:val="0"/>
          <w:szCs w:val="32"/>
        </w:rPr>
        <w:t>投诉</w:t>
      </w:r>
      <w:bookmarkEnd w:id="42"/>
    </w:p>
    <w:p>
      <w:pPr>
        <w:snapToGrid w:val="0"/>
        <w:ind w:firstLine="480" w:firstLineChars="200"/>
        <w:rPr>
          <w:rFonts w:ascii="宋体" w:hAnsi="宋体"/>
          <w:color w:val="000000" w:themeColor="text1"/>
        </w:rPr>
      </w:pPr>
      <w:bookmarkStart w:id="43" w:name="_Toc514166852"/>
      <w:bookmarkStart w:id="44" w:name="_Toc511142784"/>
      <w:bookmarkStart w:id="45" w:name="_Toc511126406"/>
      <w:bookmarkStart w:id="46" w:name="_Toc514166849"/>
      <w:bookmarkStart w:id="47" w:name="_Toc511142781"/>
      <w:bookmarkStart w:id="48" w:name="_Toc511126403"/>
      <w:r>
        <w:rPr>
          <w:rFonts w:hint="eastAsia" w:ascii="宋体" w:hAnsi="宋体"/>
          <w:color w:val="000000" w:themeColor="text1"/>
        </w:rPr>
        <w:t>5</w:t>
      </w:r>
      <w:r>
        <w:rPr>
          <w:rFonts w:ascii="宋体" w:hAnsi="宋体"/>
          <w:color w:val="000000" w:themeColor="text1"/>
        </w:rPr>
        <w:t>.</w:t>
      </w:r>
      <w:r>
        <w:rPr>
          <w:rFonts w:hint="eastAsia" w:ascii="宋体" w:hAnsi="宋体"/>
          <w:color w:val="000000" w:themeColor="text1"/>
        </w:rPr>
        <w:t>1异议</w:t>
      </w:r>
      <w:bookmarkEnd w:id="43"/>
      <w:bookmarkEnd w:id="44"/>
      <w:bookmarkEnd w:id="45"/>
    </w:p>
    <w:p>
      <w:pPr>
        <w:ind w:firstLine="48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1）</w:t>
      </w:r>
      <w:r>
        <w:rPr>
          <w:rFonts w:hint="eastAsia" w:ascii="宋体" w:hAnsi="宋体"/>
          <w:color w:val="000000" w:themeColor="text1"/>
        </w:rPr>
        <w:t>承包商对采购文件有异议的，应当在提交响应文件截止时间2日前提出。采购人应当自收到异议之日起3日内作出答复；作出答复前，应当暂停采购活动</w:t>
      </w:r>
      <w:r>
        <w:rPr>
          <w:rFonts w:ascii="宋体" w:hAnsi="宋体"/>
          <w:color w:val="000000" w:themeColor="text1"/>
        </w:rPr>
        <w:t>。</w:t>
      </w:r>
    </w:p>
    <w:p>
      <w:pPr>
        <w:ind w:firstLine="48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2）</w:t>
      </w:r>
      <w:r>
        <w:rPr>
          <w:rFonts w:hint="eastAsia" w:ascii="宋体" w:hAnsi="宋体"/>
          <w:color w:val="000000" w:themeColor="text1"/>
        </w:rPr>
        <w:t>承包商对评审结果有异议的，应当在评审结果公示期间提出，采购人自收到异议之日起3日内作出答复；作出答复前，应当暂停采购活动。</w:t>
      </w:r>
    </w:p>
    <w:p>
      <w:pPr>
        <w:snapToGrid w:val="0"/>
        <w:ind w:firstLine="480" w:firstLineChars="200"/>
        <w:rPr>
          <w:rFonts w:ascii="宋体" w:hAnsi="宋体"/>
          <w:color w:val="000000" w:themeColor="text1"/>
        </w:rPr>
      </w:pPr>
      <w:r>
        <w:rPr>
          <w:rFonts w:hint="eastAsia" w:ascii="宋体" w:hAnsi="宋体"/>
          <w:color w:val="000000" w:themeColor="text1"/>
        </w:rPr>
        <w:t>5.2投诉</w:t>
      </w:r>
    </w:p>
    <w:p>
      <w:pPr>
        <w:snapToGrid w:val="0"/>
        <w:ind w:firstLine="480" w:firstLineChars="200"/>
        <w:rPr>
          <w:rFonts w:ascii="宋体" w:hAnsi="宋体"/>
          <w:color w:val="000000" w:themeColor="text1"/>
        </w:rPr>
      </w:pPr>
      <w:r>
        <w:rPr>
          <w:rFonts w:hint="eastAsia" w:ascii="宋体" w:hAnsi="宋体"/>
          <w:color w:val="000000" w:themeColor="text1"/>
        </w:rPr>
        <w:t>承包商认为采购活动存在不符合公平、公正原则的行为，可以自知道或者应当知道之日起10日内向南化公司招标办或化机公司监察室投诉。联系方式见承包商须知前附表。</w:t>
      </w:r>
    </w:p>
    <w:bookmarkEnd w:id="46"/>
    <w:bookmarkEnd w:id="47"/>
    <w:bookmarkEnd w:id="48"/>
    <w:p>
      <w:pPr>
        <w:keepNext/>
        <w:keepLines/>
        <w:outlineLvl w:val="1"/>
        <w:rPr>
          <w:rFonts w:ascii="Arial" w:hAnsi="Arial"/>
          <w:b/>
          <w:bCs/>
          <w:color w:val="000000" w:themeColor="text1"/>
          <w:kern w:val="0"/>
          <w:szCs w:val="32"/>
        </w:rPr>
      </w:pPr>
      <w:bookmarkStart w:id="49" w:name="_Toc20642687"/>
      <w:bookmarkStart w:id="50" w:name="_Toc526793300"/>
      <w:r>
        <w:rPr>
          <w:rFonts w:hint="eastAsia" w:ascii="Arial" w:hAnsi="Arial"/>
          <w:b/>
          <w:bCs/>
          <w:color w:val="000000" w:themeColor="text1"/>
          <w:kern w:val="0"/>
          <w:szCs w:val="32"/>
        </w:rPr>
        <w:t>6．其他关键事项</w:t>
      </w:r>
      <w:bookmarkEnd w:id="49"/>
      <w:bookmarkEnd w:id="50"/>
    </w:p>
    <w:p>
      <w:pPr>
        <w:ind w:firstLine="480" w:firstLineChars="200"/>
        <w:rPr>
          <w:rFonts w:ascii="宋体" w:hAnsi="宋体"/>
          <w:color w:val="000000" w:themeColor="text1"/>
        </w:rPr>
      </w:pPr>
      <w:bookmarkStart w:id="51" w:name="_Toc511142785"/>
      <w:bookmarkStart w:id="52" w:name="_Toc511126407"/>
      <w:bookmarkStart w:id="53" w:name="_Toc514166853"/>
      <w:r>
        <w:rPr>
          <w:rFonts w:hint="eastAsia" w:ascii="宋体" w:hAnsi="宋体"/>
          <w:color w:val="000000" w:themeColor="text1"/>
        </w:rPr>
        <w:t>6.1费用承担</w:t>
      </w:r>
    </w:p>
    <w:p>
      <w:pPr>
        <w:ind w:firstLine="480" w:firstLineChars="200"/>
        <w:rPr>
          <w:rFonts w:ascii="宋体" w:hAnsi="宋体"/>
          <w:color w:val="000000" w:themeColor="text1"/>
        </w:rPr>
      </w:pPr>
      <w:r>
        <w:rPr>
          <w:rFonts w:hint="eastAsia" w:ascii="宋体" w:hAnsi="宋体"/>
          <w:color w:val="000000" w:themeColor="text1"/>
        </w:rPr>
        <w:t>承包商</w:t>
      </w:r>
      <w:r>
        <w:rPr>
          <w:rFonts w:ascii="宋体" w:hAnsi="宋体"/>
          <w:color w:val="000000" w:themeColor="text1"/>
        </w:rPr>
        <w:t>准备和参加</w:t>
      </w:r>
      <w:r>
        <w:rPr>
          <w:rFonts w:hint="eastAsia" w:ascii="宋体" w:hAnsi="宋体"/>
          <w:color w:val="000000" w:themeColor="text1"/>
        </w:rPr>
        <w:t>采购</w:t>
      </w:r>
      <w:r>
        <w:rPr>
          <w:rFonts w:ascii="宋体" w:hAnsi="宋体"/>
          <w:color w:val="000000" w:themeColor="text1"/>
        </w:rPr>
        <w:t>活动发生的费用自理。</w:t>
      </w:r>
    </w:p>
    <w:p>
      <w:pPr>
        <w:ind w:firstLine="480" w:firstLineChars="200"/>
        <w:rPr>
          <w:rFonts w:ascii="宋体" w:hAnsi="宋体"/>
          <w:color w:val="000000" w:themeColor="text1"/>
        </w:rPr>
      </w:pPr>
      <w:r>
        <w:rPr>
          <w:rFonts w:hint="eastAsia" w:ascii="宋体" w:hAnsi="宋体"/>
          <w:color w:val="000000" w:themeColor="text1"/>
        </w:rPr>
        <w:t>6.2保密</w:t>
      </w:r>
    </w:p>
    <w:p>
      <w:pPr>
        <w:ind w:firstLine="480" w:firstLineChars="200"/>
        <w:rPr>
          <w:rFonts w:ascii="宋体" w:hAnsi="宋体"/>
          <w:color w:val="000000" w:themeColor="text1"/>
        </w:rPr>
      </w:pPr>
      <w:r>
        <w:rPr>
          <w:rFonts w:ascii="宋体" w:hAnsi="宋体"/>
          <w:color w:val="000000" w:themeColor="text1"/>
        </w:rPr>
        <w:t>参与</w:t>
      </w:r>
      <w:r>
        <w:rPr>
          <w:rFonts w:hint="eastAsia" w:ascii="宋体" w:hAnsi="宋体"/>
          <w:color w:val="000000" w:themeColor="text1"/>
        </w:rPr>
        <w:t>采购活动</w:t>
      </w:r>
      <w:r>
        <w:rPr>
          <w:rFonts w:ascii="宋体" w:hAnsi="宋体"/>
          <w:color w:val="000000" w:themeColor="text1"/>
        </w:rPr>
        <w:t>的各方应对</w:t>
      </w:r>
      <w:r>
        <w:rPr>
          <w:rFonts w:hint="eastAsia" w:ascii="宋体" w:hAnsi="宋体"/>
          <w:color w:val="000000" w:themeColor="text1"/>
        </w:rPr>
        <w:t>采购文件和修改及澄清、响应文件</w:t>
      </w:r>
      <w:r>
        <w:rPr>
          <w:rFonts w:ascii="宋体" w:hAnsi="宋体"/>
          <w:color w:val="000000" w:themeColor="text1"/>
        </w:rPr>
        <w:t>中的商业和技术等秘密保密，违者应对由此造成的后果承担法律责任。</w:t>
      </w:r>
    </w:p>
    <w:p>
      <w:pPr>
        <w:ind w:firstLine="480" w:firstLineChars="200"/>
        <w:rPr>
          <w:rFonts w:ascii="宋体" w:hAnsi="宋体"/>
          <w:color w:val="000000" w:themeColor="text1"/>
        </w:rPr>
      </w:pPr>
      <w:r>
        <w:rPr>
          <w:rFonts w:hint="eastAsia" w:ascii="宋体" w:hAnsi="宋体"/>
          <w:color w:val="000000" w:themeColor="text1"/>
        </w:rPr>
        <w:t>6.3踏勘现场</w:t>
      </w:r>
    </w:p>
    <w:p>
      <w:pPr>
        <w:ind w:firstLine="480" w:firstLineChars="200"/>
        <w:rPr>
          <w:rFonts w:ascii="宋体" w:hAnsi="宋体"/>
          <w:color w:val="000000" w:themeColor="text1"/>
        </w:rPr>
      </w:pPr>
      <w:r>
        <w:rPr>
          <w:rFonts w:hint="eastAsia" w:ascii="宋体" w:hAnsi="宋体"/>
          <w:color w:val="000000" w:themeColor="text1"/>
        </w:rPr>
        <w:t>（1）踏勘现场安排：见承包商须知前附表。</w:t>
      </w:r>
    </w:p>
    <w:p>
      <w:pPr>
        <w:ind w:firstLine="480" w:firstLineChars="200"/>
        <w:rPr>
          <w:rFonts w:ascii="宋体" w:hAnsi="宋体"/>
          <w:color w:val="000000" w:themeColor="text1"/>
        </w:rPr>
      </w:pPr>
      <w:r>
        <w:rPr>
          <w:rFonts w:hint="eastAsia" w:ascii="宋体" w:hAnsi="宋体"/>
          <w:color w:val="000000" w:themeColor="text1"/>
        </w:rPr>
        <w:t>（2）除采购人的原因外，承包商自行负责在踏勘现场中所发生的人员伤亡和财产损失。</w:t>
      </w:r>
    </w:p>
    <w:p>
      <w:pPr>
        <w:snapToGrid w:val="0"/>
        <w:ind w:firstLine="480" w:firstLineChars="200"/>
        <w:rPr>
          <w:rFonts w:ascii="宋体" w:hAnsi="宋体"/>
          <w:color w:val="000000" w:themeColor="text1"/>
        </w:rPr>
      </w:pPr>
      <w:r>
        <w:rPr>
          <w:rFonts w:hint="eastAsia" w:ascii="宋体" w:hAnsi="宋体"/>
          <w:color w:val="000000" w:themeColor="text1"/>
        </w:rPr>
        <w:t>6.4分包：执行中国石化相关规定。</w:t>
      </w:r>
    </w:p>
    <w:bookmarkEnd w:id="51"/>
    <w:bookmarkEnd w:id="52"/>
    <w:bookmarkEnd w:id="53"/>
    <w:p>
      <w:pPr>
        <w:snapToGrid w:val="0"/>
        <w:ind w:firstLine="480" w:firstLineChars="200"/>
        <w:rPr>
          <w:rFonts w:ascii="宋体" w:hAnsi="宋体"/>
          <w:color w:val="000000" w:themeColor="text1"/>
        </w:rPr>
      </w:pPr>
      <w:r>
        <w:rPr>
          <w:rFonts w:hint="eastAsia" w:ascii="宋体" w:hAnsi="宋体"/>
          <w:color w:val="000000" w:themeColor="text1"/>
        </w:rPr>
        <w:t>6</w:t>
      </w:r>
      <w:r>
        <w:rPr>
          <w:rFonts w:ascii="宋体" w:hAnsi="宋体"/>
          <w:color w:val="000000" w:themeColor="text1"/>
        </w:rPr>
        <w:t>.</w:t>
      </w:r>
      <w:r>
        <w:rPr>
          <w:rFonts w:hint="eastAsia" w:ascii="宋体" w:hAnsi="宋体"/>
          <w:color w:val="000000" w:themeColor="text1"/>
        </w:rPr>
        <w:t>5采购文件中所称的“以上”、“大于”、“高于”包括本数，“以下”、“小于”、“低于”不包括本数。</w:t>
      </w:r>
    </w:p>
    <w:p>
      <w:pPr>
        <w:ind w:firstLine="480" w:firstLineChars="200"/>
        <w:rPr>
          <w:rFonts w:ascii="宋体" w:hAnsi="宋体"/>
          <w:color w:val="000000" w:themeColor="text1"/>
          <w:szCs w:val="21"/>
        </w:rPr>
      </w:pPr>
      <w:r>
        <w:rPr>
          <w:rFonts w:hint="eastAsia" w:ascii="宋体" w:hAnsi="宋体"/>
          <w:color w:val="000000" w:themeColor="text1"/>
        </w:rPr>
        <w:t>6.6当纸版响应文件与电子</w:t>
      </w:r>
      <w:r>
        <w:rPr>
          <w:rFonts w:hint="eastAsia" w:ascii="宋体" w:hAnsi="宋体"/>
          <w:color w:val="000000" w:themeColor="text1"/>
          <w:szCs w:val="21"/>
        </w:rPr>
        <w:t>响应文件内容不一致时，以纸版文件内容为准。</w:t>
      </w:r>
    </w:p>
    <w:p>
      <w:pPr>
        <w:snapToGrid w:val="0"/>
        <w:ind w:firstLine="480" w:firstLineChars="200"/>
        <w:rPr>
          <w:rFonts w:ascii="宋体" w:hAnsi="宋体"/>
          <w:color w:val="000000" w:themeColor="text1"/>
        </w:rPr>
      </w:pPr>
      <w:r>
        <w:rPr>
          <w:rFonts w:hint="eastAsia" w:ascii="宋体" w:hAnsi="宋体"/>
          <w:color w:val="000000" w:themeColor="text1"/>
        </w:rPr>
        <w:t>6.7本采购文件由采购人负责解释。</w:t>
      </w:r>
    </w:p>
    <w:p>
      <w:pPr>
        <w:keepNext/>
        <w:keepLines/>
        <w:outlineLvl w:val="1"/>
        <w:rPr>
          <w:rFonts w:ascii="Arial" w:hAnsi="Arial"/>
          <w:b/>
          <w:bCs/>
          <w:color w:val="000000" w:themeColor="text1"/>
          <w:kern w:val="0"/>
          <w:szCs w:val="32"/>
        </w:rPr>
      </w:pPr>
      <w:bookmarkStart w:id="54" w:name="_Toc20642688"/>
      <w:bookmarkStart w:id="55" w:name="_Toc526793301"/>
      <w:r>
        <w:rPr>
          <w:rFonts w:hint="eastAsia" w:ascii="Arial" w:hAnsi="Arial"/>
          <w:b/>
          <w:bCs/>
          <w:color w:val="000000" w:themeColor="text1"/>
          <w:kern w:val="0"/>
          <w:szCs w:val="32"/>
        </w:rPr>
        <w:t>7．补充</w:t>
      </w:r>
      <w:bookmarkEnd w:id="54"/>
      <w:bookmarkEnd w:id="55"/>
    </w:p>
    <w:p>
      <w:pPr>
        <w:ind w:firstLine="480" w:firstLineChars="200"/>
        <w:rPr>
          <w:rFonts w:ascii="宋体" w:hAnsi="宋体"/>
          <w:color w:val="000000" w:themeColor="text1"/>
        </w:rPr>
      </w:pPr>
      <w:r>
        <w:rPr>
          <w:rFonts w:hint="eastAsia" w:ascii="宋体" w:hAnsi="宋体"/>
          <w:color w:val="000000" w:themeColor="text1"/>
        </w:rPr>
        <w:t>补充内容见承包商须知前附表。</w:t>
      </w:r>
    </w:p>
    <w:p>
      <w:pPr>
        <w:keepNext/>
        <w:keepLines/>
        <w:outlineLvl w:val="1"/>
        <w:rPr>
          <w:rFonts w:ascii="Arial" w:hAnsi="Arial"/>
          <w:b/>
          <w:bCs/>
          <w:color w:val="000000" w:themeColor="text1"/>
          <w:kern w:val="0"/>
          <w:szCs w:val="32"/>
        </w:rPr>
      </w:pPr>
      <w:bookmarkStart w:id="56" w:name="_Toc20642689"/>
      <w:bookmarkStart w:id="57" w:name="_Toc526793302"/>
      <w:r>
        <w:rPr>
          <w:rFonts w:hint="eastAsia" w:ascii="Arial" w:hAnsi="Arial"/>
          <w:b/>
          <w:bCs/>
          <w:color w:val="000000" w:themeColor="text1"/>
          <w:kern w:val="0"/>
          <w:szCs w:val="32"/>
        </w:rPr>
        <w:t>8．附件</w:t>
      </w:r>
      <w:bookmarkEnd w:id="56"/>
      <w:bookmarkEnd w:id="57"/>
    </w:p>
    <w:p>
      <w:pPr>
        <w:snapToGrid w:val="0"/>
        <w:ind w:firstLine="480" w:firstLineChars="200"/>
        <w:rPr>
          <w:rFonts w:ascii="宋体" w:hAnsi="宋体"/>
          <w:color w:val="000000" w:themeColor="text1"/>
        </w:rPr>
      </w:pPr>
      <w:r>
        <w:rPr>
          <w:rFonts w:hint="eastAsia" w:ascii="宋体" w:hAnsi="宋体"/>
          <w:color w:val="000000" w:themeColor="text1"/>
        </w:rPr>
        <w:t>附件1</w:t>
      </w:r>
      <w:r>
        <w:rPr>
          <w:rFonts w:ascii="宋体" w:hAnsi="宋体"/>
          <w:color w:val="000000" w:themeColor="text1"/>
        </w:rPr>
        <w:t>：采购文件修改及澄清文件</w:t>
      </w:r>
    </w:p>
    <w:p>
      <w:pPr>
        <w:snapToGrid w:val="0"/>
        <w:ind w:firstLine="480" w:firstLineChars="200"/>
        <w:rPr>
          <w:rFonts w:ascii="宋体" w:hAnsi="宋体"/>
          <w:color w:val="000000" w:themeColor="text1"/>
        </w:rPr>
      </w:pPr>
      <w:r>
        <w:rPr>
          <w:rFonts w:hint="eastAsia" w:ascii="宋体" w:hAnsi="宋体"/>
          <w:color w:val="000000" w:themeColor="text1"/>
        </w:rPr>
        <w:t>附件2：响应文件接收记录表</w:t>
      </w:r>
    </w:p>
    <w:p>
      <w:pPr>
        <w:snapToGrid w:val="0"/>
        <w:ind w:firstLine="480" w:firstLineChars="200"/>
        <w:rPr>
          <w:rFonts w:ascii="宋体" w:hAnsi="宋体"/>
          <w:bCs/>
          <w:color w:val="000000" w:themeColor="text1"/>
          <w:kern w:val="0"/>
        </w:rPr>
      </w:pPr>
      <w:r>
        <w:rPr>
          <w:rFonts w:hint="eastAsia" w:ascii="宋体" w:hAnsi="宋体"/>
          <w:bCs/>
          <w:color w:val="000000" w:themeColor="text1"/>
          <w:kern w:val="0"/>
        </w:rPr>
        <w:t>附件3：响应文件汇总表</w:t>
      </w:r>
    </w:p>
    <w:p>
      <w:pPr>
        <w:snapToGrid w:val="0"/>
        <w:ind w:firstLine="480" w:firstLineChars="200"/>
        <w:rPr>
          <w:rFonts w:ascii="宋体" w:hAnsi="宋体"/>
          <w:bCs/>
          <w:color w:val="000000" w:themeColor="text1"/>
          <w:kern w:val="0"/>
        </w:rPr>
      </w:pPr>
      <w:r>
        <w:rPr>
          <w:rFonts w:hint="eastAsia" w:ascii="宋体" w:hAnsi="宋体"/>
          <w:bCs/>
          <w:color w:val="000000" w:themeColor="text1"/>
          <w:kern w:val="0"/>
        </w:rPr>
        <w:t>附件4：响应文件密封核实表</w:t>
      </w:r>
    </w:p>
    <w:p>
      <w:pPr>
        <w:snapToGrid w:val="0"/>
        <w:ind w:firstLine="480" w:firstLineChars="200"/>
        <w:rPr>
          <w:rFonts w:ascii="宋体" w:hAnsi="宋体"/>
          <w:color w:val="000000" w:themeColor="text1"/>
        </w:rPr>
      </w:pPr>
      <w:r>
        <w:rPr>
          <w:rFonts w:hint="eastAsia" w:ascii="宋体" w:hAnsi="宋体"/>
          <w:color w:val="000000" w:themeColor="text1"/>
        </w:rPr>
        <w:t>附件5：响应文件登记表</w:t>
      </w:r>
    </w:p>
    <w:p>
      <w:pPr>
        <w:snapToGrid w:val="0"/>
        <w:ind w:firstLine="480" w:firstLineChars="200"/>
        <w:rPr>
          <w:rFonts w:ascii="宋体" w:hAnsi="宋体"/>
          <w:color w:val="000000" w:themeColor="text1"/>
        </w:rPr>
      </w:pPr>
      <w:r>
        <w:rPr>
          <w:rFonts w:hint="eastAsia" w:ascii="宋体" w:hAnsi="宋体"/>
          <w:color w:val="000000" w:themeColor="text1"/>
        </w:rPr>
        <w:t>附件6</w:t>
      </w:r>
      <w:r>
        <w:rPr>
          <w:rFonts w:ascii="宋体" w:hAnsi="宋体"/>
          <w:color w:val="000000" w:themeColor="text1"/>
        </w:rPr>
        <w:t>：</w:t>
      </w:r>
      <w:r>
        <w:rPr>
          <w:rFonts w:hint="eastAsia" w:ascii="宋体" w:hAnsi="宋体"/>
          <w:color w:val="000000" w:themeColor="text1"/>
        </w:rPr>
        <w:t>成交通知书</w:t>
      </w:r>
    </w:p>
    <w:p>
      <w:pPr>
        <w:snapToGrid w:val="0"/>
        <w:ind w:firstLine="480" w:firstLineChars="200"/>
        <w:rPr>
          <w:rFonts w:ascii="宋体" w:hAnsi="宋体"/>
          <w:color w:val="000000" w:themeColor="text1"/>
        </w:rPr>
      </w:pPr>
      <w:r>
        <w:rPr>
          <w:rFonts w:hint="eastAsia" w:ascii="宋体" w:hAnsi="宋体"/>
          <w:color w:val="000000" w:themeColor="text1"/>
        </w:rPr>
        <w:t>附件7：成交结果通知书</w:t>
      </w:r>
    </w:p>
    <w:p>
      <w:pPr>
        <w:snapToGrid w:val="0"/>
        <w:ind w:firstLine="480" w:firstLineChars="200"/>
        <w:rPr>
          <w:rFonts w:ascii="宋体" w:hAnsi="宋体"/>
          <w:color w:val="000000" w:themeColor="text1"/>
        </w:rPr>
      </w:pPr>
      <w:r>
        <w:rPr>
          <w:rFonts w:hint="eastAsia" w:ascii="宋体" w:hAnsi="宋体"/>
          <w:color w:val="000000" w:themeColor="text1"/>
        </w:rPr>
        <w:t>附件8：评审小组成员及其他人员签到表</w:t>
      </w:r>
    </w:p>
    <w:p>
      <w:pPr>
        <w:snapToGrid w:val="0"/>
        <w:ind w:firstLine="482" w:firstLineChars="200"/>
        <w:rPr>
          <w:rFonts w:ascii="宋体" w:hAnsi="宋体"/>
          <w:bCs/>
          <w:color w:val="000000" w:themeColor="text1"/>
          <w:kern w:val="0"/>
          <w:szCs w:val="32"/>
        </w:rPr>
      </w:pPr>
      <w:r>
        <w:rPr>
          <w:rFonts w:ascii="宋体" w:hAnsi="宋体"/>
          <w:b/>
          <w:color w:val="000000" w:themeColor="text1"/>
        </w:rPr>
        <w:br w:type="page"/>
      </w:r>
    </w:p>
    <w:p>
      <w:pPr>
        <w:keepNext/>
        <w:keepLines/>
        <w:pageBreakBefore/>
        <w:spacing w:afterLines="100"/>
        <w:outlineLvl w:val="1"/>
        <w:rPr>
          <w:rFonts w:ascii="宋体" w:hAnsi="宋体"/>
          <w:bCs/>
          <w:color w:val="000000" w:themeColor="text1"/>
          <w:kern w:val="0"/>
          <w:szCs w:val="32"/>
        </w:rPr>
        <w:sectPr>
          <w:pgSz w:w="11906" w:h="16838"/>
          <w:pgMar w:top="1440" w:right="1800" w:bottom="1440" w:left="1800" w:header="737" w:footer="992" w:gutter="0"/>
          <w:pgNumType w:start="1"/>
          <w:cols w:space="425" w:num="1"/>
          <w:docGrid w:linePitch="326" w:charSpace="0"/>
        </w:sectPr>
      </w:pPr>
      <w:bookmarkStart w:id="58" w:name="_Toc526793304"/>
    </w:p>
    <w:p>
      <w:pPr>
        <w:keepNext/>
        <w:keepLines/>
        <w:pageBreakBefore/>
        <w:spacing w:afterLines="100"/>
        <w:outlineLvl w:val="1"/>
        <w:rPr>
          <w:rFonts w:ascii="Arial" w:hAnsi="Arial"/>
          <w:bCs/>
          <w:color w:val="000000" w:themeColor="text1"/>
          <w:kern w:val="0"/>
          <w:szCs w:val="32"/>
        </w:rPr>
      </w:pPr>
      <w:bookmarkStart w:id="59" w:name="_Toc20642690"/>
      <w:r>
        <w:rPr>
          <w:rFonts w:hint="eastAsia" w:ascii="宋体" w:hAnsi="宋体"/>
          <w:bCs/>
          <w:color w:val="000000" w:themeColor="text1"/>
          <w:kern w:val="0"/>
          <w:szCs w:val="32"/>
        </w:rPr>
        <w:t>附件1：采购文件修改及澄清文件</w:t>
      </w:r>
      <w:bookmarkEnd w:id="58"/>
      <w:bookmarkEnd w:id="59"/>
    </w:p>
    <w:p>
      <w:pPr>
        <w:spacing w:line="240" w:lineRule="auto"/>
        <w:jc w:val="center"/>
        <w:rPr>
          <w:rFonts w:ascii="宋体" w:hAnsi="宋体"/>
          <w:b/>
          <w:bCs/>
          <w:color w:val="000000" w:themeColor="text1"/>
          <w:sz w:val="30"/>
          <w:szCs w:val="30"/>
        </w:rPr>
      </w:pPr>
      <w:r>
        <w:rPr>
          <w:rFonts w:ascii="宋体" w:hAnsi="宋体"/>
          <w:b/>
          <w:bCs/>
          <w:color w:val="000000" w:themeColor="text1"/>
          <w:sz w:val="30"/>
          <w:szCs w:val="30"/>
        </w:rPr>
        <w:t>化机公司</w:t>
      </w:r>
      <w:r>
        <w:rPr>
          <w:rFonts w:hint="eastAsia" w:ascii="宋体" w:hAnsi="宋体"/>
          <w:b/>
          <w:bCs/>
          <w:color w:val="000000" w:themeColor="text1"/>
          <w:sz w:val="30"/>
          <w:szCs w:val="30"/>
        </w:rPr>
        <w:t>2022-2023年度土建、安装零星检维修项目</w:t>
      </w:r>
    </w:p>
    <w:p>
      <w:pPr>
        <w:spacing w:line="240" w:lineRule="auto"/>
        <w:jc w:val="center"/>
        <w:rPr>
          <w:rFonts w:ascii="宋体" w:hAnsi="宋体"/>
          <w:b/>
          <w:bCs/>
          <w:color w:val="000000" w:themeColor="text1"/>
          <w:sz w:val="30"/>
          <w:szCs w:val="30"/>
        </w:rPr>
      </w:pPr>
      <w:r>
        <w:rPr>
          <w:rFonts w:hint="eastAsia" w:ascii="宋体" w:hAnsi="宋体"/>
          <w:b/>
          <w:bCs/>
          <w:color w:val="000000" w:themeColor="text1"/>
          <w:sz w:val="30"/>
          <w:szCs w:val="30"/>
        </w:rPr>
        <w:t>公开招标采购修改及澄清文件</w:t>
      </w:r>
    </w:p>
    <w:p>
      <w:pPr>
        <w:rPr>
          <w:rFonts w:ascii="宋体" w:hAnsi="宋体"/>
          <w:color w:val="000000" w:themeColor="text1"/>
        </w:rPr>
      </w:pPr>
      <w:bookmarkStart w:id="60" w:name="_Toc511142790"/>
      <w:bookmarkStart w:id="61" w:name="_Toc511126412"/>
    </w:p>
    <w:bookmarkEnd w:id="60"/>
    <w:bookmarkEnd w:id="61"/>
    <w:p>
      <w:pPr>
        <w:ind w:firstLine="480" w:firstLineChars="200"/>
        <w:rPr>
          <w:rFonts w:ascii="宋体" w:hAnsi="宋体"/>
          <w:color w:val="000000" w:themeColor="text1"/>
        </w:rPr>
      </w:pPr>
      <w:bookmarkStart w:id="62" w:name="_Toc514166858"/>
      <w:r>
        <w:rPr>
          <w:rFonts w:hint="eastAsia" w:ascii="宋体" w:hAnsi="宋体"/>
          <w:color w:val="000000" w:themeColor="text1"/>
        </w:rPr>
        <w:t>一、修改（或补充）</w:t>
      </w:r>
      <w:bookmarkEnd w:id="62"/>
    </w:p>
    <w:p>
      <w:pPr>
        <w:ind w:firstLine="480" w:firstLineChars="200"/>
        <w:rPr>
          <w:rFonts w:ascii="宋体" w:hAnsi="宋体"/>
          <w:color w:val="000000" w:themeColor="text1"/>
        </w:rPr>
      </w:pPr>
      <w:r>
        <w:rPr>
          <w:rFonts w:hint="eastAsia" w:ascii="宋体" w:hAnsi="宋体"/>
          <w:color w:val="000000" w:themeColor="text1"/>
        </w:rPr>
        <w:t>1.</w:t>
      </w:r>
    </w:p>
    <w:p>
      <w:pPr>
        <w:rPr>
          <w:rFonts w:ascii="宋体" w:hAnsi="宋体"/>
          <w:color w:val="000000" w:themeColor="text1"/>
        </w:rPr>
      </w:pPr>
    </w:p>
    <w:p>
      <w:pPr>
        <w:ind w:firstLine="480" w:firstLineChars="200"/>
        <w:rPr>
          <w:rFonts w:ascii="宋体" w:hAnsi="宋体"/>
          <w:color w:val="000000" w:themeColor="text1"/>
        </w:rPr>
      </w:pPr>
      <w:bookmarkStart w:id="63" w:name="_Toc514166859"/>
      <w:bookmarkStart w:id="64" w:name="_Toc511126413"/>
      <w:bookmarkStart w:id="65" w:name="_Toc511142791"/>
      <w:r>
        <w:rPr>
          <w:rFonts w:hint="eastAsia" w:ascii="宋体" w:hAnsi="宋体"/>
          <w:color w:val="000000" w:themeColor="text1"/>
        </w:rPr>
        <w:t>二、澄清</w:t>
      </w:r>
      <w:bookmarkEnd w:id="63"/>
      <w:bookmarkEnd w:id="64"/>
      <w:bookmarkEnd w:id="65"/>
    </w:p>
    <w:p>
      <w:pPr>
        <w:autoSpaceDE w:val="0"/>
        <w:autoSpaceDN w:val="0"/>
        <w:ind w:firstLine="465"/>
        <w:rPr>
          <w:rFonts w:ascii="宋体" w:hAnsi="宋体"/>
          <w:color w:val="000000" w:themeColor="text1"/>
        </w:rPr>
      </w:pPr>
      <w:r>
        <w:rPr>
          <w:rFonts w:hint="eastAsia" w:ascii="宋体" w:hAnsi="宋体"/>
          <w:color w:val="000000" w:themeColor="text1"/>
        </w:rPr>
        <w:t>1.</w:t>
      </w:r>
    </w:p>
    <w:p>
      <w:pPr>
        <w:autoSpaceDE w:val="0"/>
        <w:autoSpaceDN w:val="0"/>
        <w:ind w:firstLine="465"/>
        <w:rPr>
          <w:rFonts w:ascii="宋体" w:hAnsi="宋体"/>
          <w:color w:val="000000" w:themeColor="text1"/>
        </w:rPr>
      </w:pPr>
    </w:p>
    <w:p>
      <w:pPr>
        <w:ind w:firstLine="480" w:firstLineChars="200"/>
        <w:jc w:val="left"/>
        <w:rPr>
          <w:rFonts w:ascii="宋体" w:hAnsi="宋体"/>
          <w:color w:val="000000" w:themeColor="text1"/>
        </w:rPr>
      </w:pPr>
      <w:r>
        <w:rPr>
          <w:rFonts w:hint="eastAsia" w:ascii="宋体" w:hAnsi="宋体"/>
          <w:color w:val="000000" w:themeColor="text1"/>
        </w:rPr>
        <w:t>请承包商在收到本修改（或补充）及澄清文件后，将回执盖章并尽快将此页回复我方联系人以确认收到本文件。</w:t>
      </w:r>
    </w:p>
    <w:p>
      <w:pPr>
        <w:ind w:firstLine="480" w:firstLineChars="200"/>
        <w:jc w:val="left"/>
        <w:rPr>
          <w:rFonts w:ascii="宋体"/>
          <w:color w:val="000000" w:themeColor="text1"/>
        </w:rPr>
      </w:pPr>
      <w:r>
        <w:rPr>
          <w:rFonts w:hint="eastAsia" w:ascii="宋体" w:hAnsi="宋体"/>
          <w:color w:val="000000" w:themeColor="text1"/>
        </w:rPr>
        <w:t>我方联系人姓名xxxx，传真xxxx，联系电话xxxx，邮箱xxxx。</w:t>
      </w:r>
    </w:p>
    <w:p>
      <w:pPr>
        <w:jc w:val="right"/>
        <w:rPr>
          <w:color w:val="000000" w:themeColor="text1"/>
        </w:rPr>
      </w:pPr>
      <w:r>
        <w:rPr>
          <w:rFonts w:hint="eastAsia"/>
          <w:color w:val="000000" w:themeColor="text1"/>
        </w:rPr>
        <w:t>采购人/招标代理机构：（盖CA章/盖单位章）</w:t>
      </w:r>
    </w:p>
    <w:p>
      <w:pPr>
        <w:ind w:right="130" w:firstLine="480" w:firstLineChars="200"/>
        <w:jc w:val="right"/>
        <w:rPr>
          <w:color w:val="000000" w:themeColor="text1"/>
        </w:rPr>
      </w:pPr>
      <w:r>
        <w:rPr>
          <w:rFonts w:hint="eastAsia"/>
          <w:color w:val="000000" w:themeColor="text1"/>
        </w:rPr>
        <w:t>xxxx年xx月xx日</w:t>
      </w:r>
    </w:p>
    <w:p>
      <w:pPr>
        <w:snapToGrid w:val="0"/>
        <w:spacing w:line="240" w:lineRule="auto"/>
        <w:ind w:right="55"/>
        <w:jc w:val="left"/>
        <w:rPr>
          <w:color w:val="000000" w:themeColor="text1"/>
          <w:u w:val="thick"/>
        </w:rPr>
      </w:pPr>
      <w:r>
        <w:rPr>
          <w:color w:val="000000" w:themeColor="text1"/>
          <w:u w:val="thick"/>
        </w:rPr>
        <w:t xml:space="preserve">                                                                         </w:t>
      </w:r>
    </w:p>
    <w:p>
      <w:pPr>
        <w:spacing w:line="276" w:lineRule="auto"/>
        <w:jc w:val="center"/>
        <w:rPr>
          <w:rFonts w:ascii="宋体"/>
          <w:color w:val="000000" w:themeColor="text1"/>
          <w:sz w:val="32"/>
          <w:szCs w:val="32"/>
        </w:rPr>
      </w:pPr>
      <w:r>
        <w:rPr>
          <w:rFonts w:hint="eastAsia" w:ascii="宋体" w:hAnsi="宋体"/>
          <w:color w:val="000000" w:themeColor="text1"/>
          <w:sz w:val="32"/>
          <w:szCs w:val="32"/>
        </w:rPr>
        <w:t>回</w:t>
      </w:r>
      <w:r>
        <w:rPr>
          <w:rFonts w:ascii="宋体" w:hAnsi="宋体"/>
          <w:color w:val="000000" w:themeColor="text1"/>
          <w:sz w:val="32"/>
          <w:szCs w:val="32"/>
        </w:rPr>
        <w:t xml:space="preserve">    </w:t>
      </w:r>
      <w:r>
        <w:rPr>
          <w:rFonts w:hint="eastAsia" w:ascii="宋体" w:hAnsi="宋体"/>
          <w:color w:val="000000" w:themeColor="text1"/>
          <w:sz w:val="32"/>
          <w:szCs w:val="32"/>
        </w:rPr>
        <w:t>执</w:t>
      </w:r>
    </w:p>
    <w:p>
      <w:pPr>
        <w:spacing w:after="120"/>
        <w:jc w:val="left"/>
        <w:rPr>
          <w:color w:val="000000" w:themeColor="text1"/>
          <w:kern w:val="0"/>
        </w:rPr>
      </w:pPr>
      <w:r>
        <w:rPr>
          <w:rFonts w:hint="eastAsia"/>
          <w:color w:val="000000" w:themeColor="text1"/>
          <w:kern w:val="0"/>
        </w:rPr>
        <w:t>（采购人/招标代理机构）：</w:t>
      </w:r>
    </w:p>
    <w:p>
      <w:pPr>
        <w:spacing w:after="120"/>
        <w:ind w:firstLine="465"/>
        <w:jc w:val="left"/>
        <w:rPr>
          <w:rFonts w:ascii="宋体" w:hAnsi="宋体"/>
          <w:color w:val="000000" w:themeColor="text1"/>
          <w:kern w:val="0"/>
        </w:rPr>
      </w:pPr>
      <w:r>
        <w:rPr>
          <w:rFonts w:hint="eastAsia" w:ascii="宋体" w:hAnsi="宋体"/>
          <w:color w:val="000000" w:themeColor="text1"/>
          <w:kern w:val="0"/>
        </w:rPr>
        <w:t>我公司于xxxx年xx月xx日收到《（采购项目名称）（采购项目类别）（标段名称）公开招标采购文件修改（或补充）及澄清文件（一/二</w:t>
      </w:r>
      <w:r>
        <w:rPr>
          <w:rFonts w:ascii="宋体" w:hAnsi="宋体"/>
          <w:color w:val="000000" w:themeColor="text1"/>
          <w:kern w:val="0"/>
        </w:rPr>
        <w:t>…</w:t>
      </w:r>
      <w:r>
        <w:rPr>
          <w:rFonts w:hint="eastAsia" w:ascii="宋体" w:hAnsi="宋体"/>
          <w:color w:val="000000" w:themeColor="text1"/>
          <w:kern w:val="0"/>
        </w:rPr>
        <w:t>）》共xx页，并知悉此修改（或补充）及澄清文件的全部内容。</w:t>
      </w:r>
    </w:p>
    <w:p>
      <w:pPr>
        <w:tabs>
          <w:tab w:val="left" w:pos="4510"/>
        </w:tabs>
        <w:spacing w:line="240" w:lineRule="auto"/>
        <w:ind w:firstLine="480" w:firstLineChars="200"/>
        <w:jc w:val="left"/>
        <w:rPr>
          <w:rFonts w:ascii="宋体"/>
          <w:color w:val="000000" w:themeColor="text1"/>
        </w:rPr>
      </w:pPr>
      <w:r>
        <w:rPr>
          <w:rFonts w:hint="eastAsia" w:ascii="宋体" w:hAnsi="宋体"/>
          <w:color w:val="000000" w:themeColor="text1"/>
        </w:rPr>
        <w:t>特此回复</w:t>
      </w:r>
      <w:r>
        <w:rPr>
          <w:rFonts w:ascii="宋体"/>
          <w:color w:val="000000" w:themeColor="text1"/>
        </w:rPr>
        <w:tab/>
      </w:r>
    </w:p>
    <w:p>
      <w:pPr>
        <w:tabs>
          <w:tab w:val="left" w:pos="4510"/>
        </w:tabs>
        <w:spacing w:line="480" w:lineRule="auto"/>
        <w:ind w:firstLine="480" w:firstLineChars="200"/>
        <w:jc w:val="right"/>
        <w:rPr>
          <w:rFonts w:ascii="宋体"/>
          <w:color w:val="000000" w:themeColor="text1"/>
        </w:rPr>
      </w:pPr>
      <w:r>
        <w:rPr>
          <w:rFonts w:hint="eastAsia" w:ascii="宋体" w:hAnsi="宋体"/>
          <w:color w:val="000000" w:themeColor="text1"/>
        </w:rPr>
        <w:t>承包商：（盖单位章）</w:t>
      </w:r>
    </w:p>
    <w:p>
      <w:pPr>
        <w:ind w:right="130" w:firstLine="480" w:firstLineChars="200"/>
        <w:jc w:val="right"/>
        <w:rPr>
          <w:color w:val="000000" w:themeColor="text1"/>
        </w:rPr>
      </w:pPr>
      <w:r>
        <w:rPr>
          <w:rFonts w:hint="eastAsia"/>
          <w:color w:val="000000" w:themeColor="text1"/>
        </w:rPr>
        <w:t>xxxx年xx月xx日</w:t>
      </w:r>
    </w:p>
    <w:p>
      <w:pPr>
        <w:keepNext/>
        <w:keepLines/>
        <w:spacing w:afterLines="150" w:line="240" w:lineRule="auto"/>
        <w:outlineLvl w:val="1"/>
        <w:rPr>
          <w:rFonts w:ascii="宋体" w:hAnsi="宋体"/>
          <w:b/>
          <w:color w:val="000000" w:themeColor="text1"/>
          <w:kern w:val="0"/>
          <w:szCs w:val="32"/>
        </w:rPr>
      </w:pPr>
      <w:r>
        <w:rPr>
          <w:rFonts w:ascii="宋体" w:hAnsi="宋体"/>
          <w:b/>
          <w:bCs/>
          <w:color w:val="000000" w:themeColor="text1"/>
          <w:kern w:val="0"/>
          <w:szCs w:val="32"/>
          <w:u w:val="single"/>
        </w:rPr>
        <w:br w:type="column"/>
      </w:r>
      <w:bookmarkStart w:id="66" w:name="_Toc419137600"/>
      <w:bookmarkStart w:id="67" w:name="_Toc419140131"/>
      <w:bookmarkStart w:id="68" w:name="_Toc419138785"/>
      <w:bookmarkStart w:id="69" w:name="_Toc419137752"/>
      <w:bookmarkStart w:id="70" w:name="_Toc419138050"/>
      <w:bookmarkStart w:id="71" w:name="_Toc426215108"/>
      <w:bookmarkStart w:id="72" w:name="_Toc439159886"/>
      <w:bookmarkStart w:id="73" w:name="_Toc419136693"/>
      <w:bookmarkStart w:id="74" w:name="_Toc419139547"/>
      <w:bookmarkStart w:id="75" w:name="_Toc20642691"/>
      <w:r>
        <w:rPr>
          <w:rFonts w:hint="eastAsia" w:ascii="宋体" w:hAnsi="宋体"/>
          <w:bCs/>
          <w:color w:val="000000" w:themeColor="text1"/>
          <w:kern w:val="0"/>
          <w:szCs w:val="32"/>
        </w:rPr>
        <w:t>附件2：响应文件接收记录表</w:t>
      </w:r>
      <w:bookmarkEnd w:id="66"/>
      <w:bookmarkEnd w:id="67"/>
      <w:bookmarkEnd w:id="68"/>
      <w:bookmarkEnd w:id="69"/>
      <w:bookmarkEnd w:id="70"/>
      <w:bookmarkEnd w:id="71"/>
      <w:bookmarkEnd w:id="72"/>
      <w:bookmarkEnd w:id="73"/>
      <w:bookmarkEnd w:id="74"/>
      <w:bookmarkEnd w:id="75"/>
    </w:p>
    <w:p>
      <w:pPr>
        <w:snapToGrid w:val="0"/>
        <w:spacing w:afterLines="50"/>
        <w:jc w:val="center"/>
        <w:rPr>
          <w:b/>
          <w:bCs/>
          <w:color w:val="000000" w:themeColor="text1"/>
          <w:sz w:val="30"/>
          <w:szCs w:val="30"/>
        </w:rPr>
      </w:pPr>
      <w:r>
        <w:rPr>
          <w:rFonts w:hint="eastAsia"/>
          <w:b/>
          <w:bCs/>
          <w:color w:val="000000" w:themeColor="text1"/>
          <w:sz w:val="30"/>
          <w:szCs w:val="30"/>
        </w:rPr>
        <w:t>响应文件接收记录表</w:t>
      </w:r>
    </w:p>
    <w:tbl>
      <w:tblPr>
        <w:tblStyle w:val="60"/>
        <w:tblW w:w="9072" w:type="dxa"/>
        <w:jc w:val="center"/>
        <w:tblLayout w:type="autofit"/>
        <w:tblCellMar>
          <w:top w:w="0" w:type="dxa"/>
          <w:left w:w="108" w:type="dxa"/>
          <w:bottom w:w="0" w:type="dxa"/>
          <w:right w:w="108" w:type="dxa"/>
        </w:tblCellMar>
      </w:tblPr>
      <w:tblGrid>
        <w:gridCol w:w="887"/>
        <w:gridCol w:w="1524"/>
        <w:gridCol w:w="6661"/>
      </w:tblGrid>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spacing w:line="240" w:lineRule="auto"/>
              <w:jc w:val="left"/>
              <w:rPr>
                <w:rFonts w:ascii="宋体" w:hAnsi="宋体"/>
                <w:bCs/>
                <w:color w:val="000000" w:themeColor="text1"/>
                <w:sz w:val="21"/>
                <w:szCs w:val="21"/>
              </w:rPr>
            </w:pPr>
            <w:r>
              <w:rPr>
                <w:rFonts w:hint="eastAsia" w:ascii="宋体" w:hAnsi="宋体"/>
                <w:bCs/>
                <w:color w:val="000000" w:themeColor="text1"/>
                <w:sz w:val="21"/>
                <w:szCs w:val="21"/>
              </w:rPr>
              <w:t>采购项目名称</w:t>
            </w:r>
          </w:p>
        </w:tc>
        <w:tc>
          <w:tcPr>
            <w:tcW w:w="666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auto"/>
              <w:ind w:firstLine="284"/>
              <w:jc w:val="center"/>
              <w:rPr>
                <w:rFonts w:hAnsi="宋体"/>
                <w:bCs/>
                <w:color w:val="000000" w:themeColor="text1"/>
                <w:kern w:val="0"/>
                <w:sz w:val="30"/>
                <w:szCs w:val="30"/>
              </w:rPr>
            </w:pPr>
            <w:r>
              <w:rPr>
                <w:rFonts w:hint="eastAsia" w:hAnsi="宋体"/>
                <w:bCs/>
                <w:color w:val="000000" w:themeColor="text1"/>
                <w:kern w:val="0"/>
                <w:sz w:val="30"/>
                <w:szCs w:val="30"/>
              </w:rPr>
              <w:t>2022-2023年度土建、安装零星检维修项目</w:t>
            </w: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jc w:val="left"/>
              <w:rPr>
                <w:rFonts w:ascii="宋体" w:hAnsi="宋体"/>
                <w:color w:val="000000" w:themeColor="text1"/>
                <w:sz w:val="21"/>
                <w:szCs w:val="21"/>
              </w:rPr>
            </w:pPr>
            <w:r>
              <w:rPr>
                <w:rFonts w:hint="eastAsia" w:ascii="宋体" w:hAnsi="宋体"/>
                <w:color w:val="000000" w:themeColor="text1"/>
                <w:sz w:val="21"/>
                <w:szCs w:val="21"/>
              </w:rPr>
              <w:t>采购人</w:t>
            </w:r>
          </w:p>
        </w:tc>
        <w:tc>
          <w:tcPr>
            <w:tcW w:w="6661"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中石化南京化工机械有限公司</w:t>
            </w: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jc w:val="left"/>
              <w:rPr>
                <w:rFonts w:ascii="宋体" w:hAnsi="宋体"/>
                <w:color w:val="000000" w:themeColor="text1"/>
                <w:sz w:val="21"/>
                <w:szCs w:val="21"/>
              </w:rPr>
            </w:pPr>
            <w:r>
              <w:rPr>
                <w:rFonts w:hint="eastAsia" w:ascii="宋体" w:hAnsi="宋体"/>
                <w:color w:val="000000" w:themeColor="text1"/>
                <w:sz w:val="21"/>
                <w:szCs w:val="21"/>
              </w:rPr>
              <w:t>招标代理机构</w:t>
            </w:r>
          </w:p>
        </w:tc>
        <w:tc>
          <w:tcPr>
            <w:tcW w:w="6661"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w:t>
            </w: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jc w:val="left"/>
              <w:rPr>
                <w:rFonts w:ascii="宋体" w:hAnsi="宋体"/>
                <w:color w:val="000000" w:themeColor="text1"/>
                <w:sz w:val="21"/>
                <w:szCs w:val="21"/>
              </w:rPr>
            </w:pPr>
            <w:r>
              <w:rPr>
                <w:rFonts w:hint="eastAsia" w:ascii="宋体" w:hAnsi="宋体"/>
                <w:color w:val="000000" w:themeColor="text1"/>
                <w:sz w:val="21"/>
                <w:szCs w:val="21"/>
              </w:rPr>
              <w:t>规定递交场所</w:t>
            </w:r>
          </w:p>
        </w:tc>
        <w:tc>
          <w:tcPr>
            <w:tcW w:w="6661"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化机公司生产机动部</w:t>
            </w: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jc w:val="left"/>
              <w:rPr>
                <w:rFonts w:ascii="宋体" w:hAnsi="宋体"/>
                <w:color w:val="000000" w:themeColor="text1"/>
                <w:sz w:val="21"/>
                <w:szCs w:val="21"/>
              </w:rPr>
            </w:pPr>
            <w:r>
              <w:rPr>
                <w:rFonts w:hint="eastAsia" w:ascii="宋体" w:hAnsi="宋体"/>
                <w:color w:val="000000" w:themeColor="text1"/>
                <w:sz w:val="21"/>
                <w:szCs w:val="21"/>
              </w:rPr>
              <w:t>规定递交时间</w:t>
            </w:r>
          </w:p>
        </w:tc>
        <w:tc>
          <w:tcPr>
            <w:tcW w:w="6661"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hAnsi="宋体"/>
                <w:color w:val="000000" w:themeColor="text1"/>
                <w:sz w:val="21"/>
                <w:szCs w:val="21"/>
              </w:rPr>
            </w:pPr>
            <w:r>
              <w:rPr>
                <w:rFonts w:hint="eastAsia"/>
                <w:color w:val="FF0000"/>
                <w:sz w:val="21"/>
                <w:szCs w:val="21"/>
              </w:rPr>
              <w:t>至</w:t>
            </w:r>
            <w:r>
              <w:rPr>
                <w:rFonts w:hint="eastAsia" w:ascii="宋体" w:hAnsi="宋体"/>
                <w:color w:val="FF0000"/>
                <w:sz w:val="21"/>
                <w:szCs w:val="21"/>
              </w:rPr>
              <w:t>2022年5月30日12时00分止</w:t>
            </w: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jc w:val="left"/>
              <w:rPr>
                <w:rFonts w:ascii="宋体" w:hAnsi="宋体"/>
                <w:color w:val="000000" w:themeColor="text1"/>
                <w:sz w:val="21"/>
                <w:szCs w:val="21"/>
              </w:rPr>
            </w:pPr>
            <w:r>
              <w:rPr>
                <w:rFonts w:hint="eastAsia" w:ascii="宋体" w:hAnsi="宋体"/>
                <w:color w:val="000000" w:themeColor="text1"/>
                <w:sz w:val="21"/>
                <w:szCs w:val="21"/>
              </w:rPr>
              <w:t>承包商</w:t>
            </w:r>
          </w:p>
        </w:tc>
        <w:tc>
          <w:tcPr>
            <w:tcW w:w="6661"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jc w:val="left"/>
              <w:rPr>
                <w:rFonts w:ascii="宋体" w:hAnsi="宋体"/>
                <w:color w:val="000000" w:themeColor="text1"/>
                <w:sz w:val="21"/>
                <w:szCs w:val="21"/>
              </w:rPr>
            </w:pPr>
            <w:r>
              <w:rPr>
                <w:rFonts w:hint="eastAsia" w:ascii="宋体" w:hAnsi="宋体"/>
                <w:color w:val="000000" w:themeColor="text1"/>
                <w:sz w:val="21"/>
                <w:szCs w:val="21"/>
              </w:rPr>
              <w:t>接收时间</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ind w:firstLine="420" w:firstLineChars="20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年  月  日  时  分</w:t>
            </w: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jc w:val="left"/>
              <w:rPr>
                <w:rFonts w:ascii="宋体" w:hAnsi="宋体"/>
                <w:color w:val="000000" w:themeColor="text1"/>
                <w:sz w:val="21"/>
                <w:szCs w:val="21"/>
              </w:rPr>
            </w:pPr>
            <w:r>
              <w:rPr>
                <w:rFonts w:hint="eastAsia" w:ascii="宋体" w:hAnsi="宋体"/>
                <w:color w:val="000000" w:themeColor="text1"/>
                <w:sz w:val="21"/>
                <w:szCs w:val="21"/>
              </w:rPr>
              <w:t>采购文件包装件数量</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ind w:firstLine="420" w:firstLineChars="20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1件</w:t>
            </w:r>
          </w:p>
        </w:tc>
      </w:tr>
      <w:tr>
        <w:tblPrEx>
          <w:tblCellMar>
            <w:top w:w="0" w:type="dxa"/>
            <w:left w:w="108" w:type="dxa"/>
            <w:bottom w:w="0" w:type="dxa"/>
            <w:right w:w="108" w:type="dxa"/>
          </w:tblCellMar>
        </w:tblPrEx>
        <w:trPr>
          <w:trHeight w:val="585" w:hRule="atLeast"/>
          <w:jc w:val="center"/>
        </w:trPr>
        <w:tc>
          <w:tcPr>
            <w:tcW w:w="887"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密封</w:t>
            </w:r>
          </w:p>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情况</w:t>
            </w:r>
          </w:p>
        </w:tc>
        <w:tc>
          <w:tcPr>
            <w:tcW w:w="1524"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封条粘贴</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□符合  □不符合 采购文件要求</w:t>
            </w:r>
          </w:p>
        </w:tc>
      </w:tr>
      <w:tr>
        <w:tblPrEx>
          <w:tblCellMar>
            <w:top w:w="0" w:type="dxa"/>
            <w:left w:w="108" w:type="dxa"/>
            <w:bottom w:w="0" w:type="dxa"/>
            <w:right w:w="108" w:type="dxa"/>
          </w:tblCellMar>
        </w:tblPrEx>
        <w:trPr>
          <w:trHeight w:val="585" w:hRule="atLeast"/>
          <w:jc w:val="center"/>
        </w:trPr>
        <w:tc>
          <w:tcPr>
            <w:tcW w:w="887"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1524"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签字或盖章</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□符合  □不符合 采购文件要求</w:t>
            </w:r>
          </w:p>
        </w:tc>
      </w:tr>
      <w:tr>
        <w:tblPrEx>
          <w:tblCellMar>
            <w:top w:w="0" w:type="dxa"/>
            <w:left w:w="108" w:type="dxa"/>
            <w:bottom w:w="0" w:type="dxa"/>
            <w:right w:w="108" w:type="dxa"/>
          </w:tblCellMar>
        </w:tblPrEx>
        <w:trPr>
          <w:trHeight w:val="585" w:hRule="atLeast"/>
          <w:jc w:val="center"/>
        </w:trPr>
        <w:tc>
          <w:tcPr>
            <w:tcW w:w="887"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1524"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密封面标注</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□符合  □不符合 采购文件要求</w:t>
            </w:r>
          </w:p>
        </w:tc>
      </w:tr>
      <w:tr>
        <w:tblPrEx>
          <w:tblCellMar>
            <w:top w:w="0" w:type="dxa"/>
            <w:left w:w="108" w:type="dxa"/>
            <w:bottom w:w="0" w:type="dxa"/>
            <w:right w:w="108" w:type="dxa"/>
          </w:tblCellMar>
        </w:tblPrEx>
        <w:trPr>
          <w:trHeight w:val="585" w:hRule="atLeast"/>
          <w:jc w:val="center"/>
        </w:trPr>
        <w:tc>
          <w:tcPr>
            <w:tcW w:w="887"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1524"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其他</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85"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拒绝接收文件的说明</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85" w:hRule="atLeast"/>
          <w:jc w:val="center"/>
        </w:trPr>
        <w:tc>
          <w:tcPr>
            <w:tcW w:w="887" w:type="dxa"/>
            <w:vMerge w:val="restart"/>
            <w:tcBorders>
              <w:top w:val="single" w:color="auto" w:sz="4" w:space="0"/>
              <w:left w:val="single" w:color="auto" w:sz="4" w:space="0"/>
              <w:right w:val="single" w:color="000000"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承包商递交人</w:t>
            </w:r>
          </w:p>
        </w:tc>
        <w:tc>
          <w:tcPr>
            <w:tcW w:w="152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身份证号码</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85" w:hRule="atLeast"/>
          <w:jc w:val="center"/>
        </w:trPr>
        <w:tc>
          <w:tcPr>
            <w:tcW w:w="887" w:type="dxa"/>
            <w:vMerge w:val="continue"/>
            <w:tcBorders>
              <w:left w:val="single" w:color="auto" w:sz="4" w:space="0"/>
              <w:right w:val="single" w:color="000000" w:sz="4" w:space="0"/>
            </w:tcBorders>
            <w:shd w:val="clear" w:color="auto" w:fill="auto"/>
            <w:vAlign w:val="center"/>
          </w:tcPr>
          <w:p>
            <w:pPr>
              <w:widowControl/>
              <w:snapToGrid w:val="0"/>
              <w:jc w:val="right"/>
              <w:rPr>
                <w:rFonts w:ascii="宋体" w:hAnsi="宋体" w:cs="宋体"/>
                <w:color w:val="000000" w:themeColor="text1"/>
                <w:kern w:val="0"/>
                <w:sz w:val="21"/>
                <w:szCs w:val="21"/>
              </w:rPr>
            </w:pPr>
          </w:p>
        </w:tc>
        <w:tc>
          <w:tcPr>
            <w:tcW w:w="152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联系电话</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585" w:hRule="atLeast"/>
          <w:jc w:val="center"/>
        </w:trPr>
        <w:tc>
          <w:tcPr>
            <w:tcW w:w="887" w:type="dxa"/>
            <w:vMerge w:val="continue"/>
            <w:tcBorders>
              <w:left w:val="single" w:color="auto" w:sz="4" w:space="0"/>
              <w:bottom w:val="single" w:color="auto" w:sz="4" w:space="0"/>
              <w:right w:val="single" w:color="000000" w:sz="4" w:space="0"/>
            </w:tcBorders>
            <w:shd w:val="clear" w:color="auto" w:fill="auto"/>
            <w:vAlign w:val="center"/>
          </w:tcPr>
          <w:p>
            <w:pPr>
              <w:widowControl/>
              <w:snapToGrid w:val="0"/>
              <w:jc w:val="right"/>
              <w:rPr>
                <w:rFonts w:ascii="宋体" w:hAnsi="宋体" w:cs="宋体"/>
                <w:color w:val="000000" w:themeColor="text1"/>
                <w:kern w:val="0"/>
                <w:sz w:val="21"/>
                <w:szCs w:val="21"/>
              </w:rPr>
            </w:pPr>
          </w:p>
        </w:tc>
        <w:tc>
          <w:tcPr>
            <w:tcW w:w="152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确认签字</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712" w:hRule="atLeast"/>
          <w:jc w:val="center"/>
        </w:trPr>
        <w:tc>
          <w:tcPr>
            <w:tcW w:w="241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接收人签字</w:t>
            </w:r>
          </w:p>
        </w:tc>
        <w:tc>
          <w:tcPr>
            <w:tcW w:w="6661"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680" w:hRule="atLeast"/>
          <w:jc w:val="center"/>
        </w:trPr>
        <w:tc>
          <w:tcPr>
            <w:tcW w:w="90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其他：</w:t>
            </w:r>
          </w:p>
        </w:tc>
      </w:tr>
    </w:tbl>
    <w:p>
      <w:pPr>
        <w:tabs>
          <w:tab w:val="left" w:pos="4680"/>
        </w:tabs>
        <w:snapToGrid w:val="0"/>
        <w:rPr>
          <w:b/>
          <w:bCs/>
          <w:color w:val="000000" w:themeColor="text1"/>
          <w:sz w:val="32"/>
          <w:szCs w:val="32"/>
        </w:rPr>
      </w:pPr>
    </w:p>
    <w:p>
      <w:pPr>
        <w:tabs>
          <w:tab w:val="left" w:pos="4680"/>
        </w:tabs>
        <w:snapToGrid w:val="0"/>
        <w:spacing w:afterLines="100"/>
        <w:outlineLvl w:val="1"/>
        <w:rPr>
          <w:rFonts w:ascii="宋体" w:hAnsi="宋体"/>
          <w:bCs/>
          <w:color w:val="000000" w:themeColor="text1"/>
          <w:kern w:val="0"/>
        </w:rPr>
      </w:pPr>
      <w:r>
        <w:rPr>
          <w:b/>
          <w:bCs/>
          <w:color w:val="000000" w:themeColor="text1"/>
          <w:sz w:val="32"/>
          <w:szCs w:val="32"/>
        </w:rPr>
        <w:br w:type="page"/>
      </w:r>
      <w:bookmarkStart w:id="76" w:name="_Toc419139548"/>
      <w:bookmarkStart w:id="77" w:name="_Toc439159887"/>
      <w:bookmarkStart w:id="78" w:name="_Toc20642692"/>
      <w:bookmarkStart w:id="79" w:name="_Toc426215109"/>
      <w:bookmarkStart w:id="80" w:name="_Toc419138786"/>
      <w:bookmarkStart w:id="81" w:name="_Toc419136694"/>
      <w:bookmarkStart w:id="82" w:name="_Toc419138051"/>
      <w:bookmarkStart w:id="83" w:name="_Toc419137753"/>
      <w:bookmarkStart w:id="84" w:name="_Toc419140132"/>
      <w:bookmarkStart w:id="85" w:name="_Toc419137601"/>
      <w:r>
        <w:rPr>
          <w:rFonts w:hint="eastAsia" w:ascii="宋体" w:hAnsi="宋体"/>
          <w:bCs/>
          <w:color w:val="000000" w:themeColor="text1"/>
          <w:kern w:val="0"/>
        </w:rPr>
        <w:t>附件3：响应文件汇总表</w:t>
      </w:r>
      <w:bookmarkEnd w:id="76"/>
      <w:bookmarkEnd w:id="77"/>
      <w:bookmarkEnd w:id="78"/>
      <w:bookmarkEnd w:id="79"/>
      <w:bookmarkEnd w:id="80"/>
      <w:bookmarkEnd w:id="81"/>
      <w:bookmarkEnd w:id="82"/>
      <w:bookmarkEnd w:id="83"/>
      <w:bookmarkEnd w:id="84"/>
      <w:bookmarkEnd w:id="85"/>
    </w:p>
    <w:p>
      <w:pPr>
        <w:snapToGrid w:val="0"/>
        <w:spacing w:afterLines="150"/>
        <w:jc w:val="center"/>
        <w:rPr>
          <w:b/>
          <w:bCs/>
          <w:color w:val="000000" w:themeColor="text1"/>
          <w:sz w:val="30"/>
          <w:szCs w:val="30"/>
        </w:rPr>
      </w:pPr>
      <w:r>
        <w:rPr>
          <w:rFonts w:hint="eastAsia"/>
          <w:b/>
          <w:bCs/>
          <w:color w:val="000000" w:themeColor="text1"/>
          <w:sz w:val="30"/>
          <w:szCs w:val="30"/>
        </w:rPr>
        <w:t>响应文件汇总表</w:t>
      </w:r>
    </w:p>
    <w:p>
      <w:pPr>
        <w:adjustRightInd w:val="0"/>
        <w:snapToGrid w:val="0"/>
        <w:spacing w:line="240" w:lineRule="auto"/>
        <w:rPr>
          <w:rFonts w:ascii="宋体" w:hAnsi="宋体"/>
          <w:bCs/>
          <w:color w:val="000000" w:themeColor="text1"/>
          <w:sz w:val="21"/>
          <w:szCs w:val="21"/>
        </w:rPr>
      </w:pPr>
      <w:r>
        <w:rPr>
          <w:rFonts w:hint="eastAsia" w:ascii="宋体" w:hAnsi="宋体"/>
          <w:bCs/>
          <w:color w:val="000000" w:themeColor="text1"/>
          <w:sz w:val="21"/>
          <w:szCs w:val="21"/>
        </w:rPr>
        <w:t>采购项目名称：2022-2023年度土建、安装零星检维修项目</w:t>
      </w:r>
    </w:p>
    <w:p>
      <w:pPr>
        <w:adjustRightInd w:val="0"/>
        <w:snapToGrid w:val="0"/>
        <w:spacing w:line="240" w:lineRule="auto"/>
        <w:rPr>
          <w:rFonts w:ascii="宋体" w:hAnsi="宋体"/>
          <w:bCs/>
          <w:color w:val="000000" w:themeColor="text1"/>
          <w:sz w:val="21"/>
          <w:szCs w:val="21"/>
        </w:rPr>
      </w:pPr>
      <w:r>
        <w:rPr>
          <w:rFonts w:hint="eastAsia" w:ascii="宋体" w:hAnsi="宋体"/>
          <w:color w:val="000000" w:themeColor="text1"/>
          <w:sz w:val="21"/>
          <w:szCs w:val="21"/>
        </w:rPr>
        <w:t xml:space="preserve">采购人：中石化南京化工机械有限公司                                                     </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3920"/>
        <w:gridCol w:w="267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vAlign w:val="center"/>
          </w:tcPr>
          <w:p>
            <w:pPr>
              <w:widowControl/>
              <w:snapToGrid w:val="0"/>
              <w:spacing w:line="240" w:lineRule="auto"/>
              <w:jc w:val="center"/>
              <w:rPr>
                <w:rFonts w:ascii="宋体" w:hAnsi="宋体"/>
                <w:bCs/>
                <w:color w:val="000000" w:themeColor="text1"/>
                <w:kern w:val="0"/>
                <w:sz w:val="21"/>
                <w:szCs w:val="21"/>
              </w:rPr>
            </w:pPr>
            <w:r>
              <w:rPr>
                <w:rFonts w:hint="eastAsia" w:ascii="宋体" w:hAnsi="宋体"/>
                <w:bCs/>
                <w:color w:val="000000" w:themeColor="text1"/>
                <w:kern w:val="0"/>
                <w:sz w:val="21"/>
                <w:szCs w:val="21"/>
              </w:rPr>
              <w:t>序号</w:t>
            </w:r>
          </w:p>
        </w:tc>
        <w:tc>
          <w:tcPr>
            <w:tcW w:w="3920" w:type="dxa"/>
            <w:vAlign w:val="center"/>
          </w:tcPr>
          <w:p>
            <w:pPr>
              <w:widowControl/>
              <w:snapToGrid w:val="0"/>
              <w:spacing w:line="240" w:lineRule="auto"/>
              <w:jc w:val="center"/>
              <w:rPr>
                <w:rFonts w:ascii="宋体" w:hAnsi="宋体"/>
                <w:bCs/>
                <w:color w:val="000000" w:themeColor="text1"/>
                <w:kern w:val="0"/>
                <w:sz w:val="21"/>
                <w:szCs w:val="21"/>
              </w:rPr>
            </w:pPr>
            <w:r>
              <w:rPr>
                <w:rFonts w:hint="eastAsia" w:ascii="宋体" w:hAnsi="宋体"/>
                <w:bCs/>
                <w:color w:val="000000" w:themeColor="text1"/>
                <w:kern w:val="0"/>
                <w:sz w:val="21"/>
                <w:szCs w:val="21"/>
              </w:rPr>
              <w:t>承包商名称</w:t>
            </w:r>
          </w:p>
        </w:tc>
        <w:tc>
          <w:tcPr>
            <w:tcW w:w="2672" w:type="dxa"/>
            <w:vAlign w:val="center"/>
          </w:tcPr>
          <w:p>
            <w:pPr>
              <w:widowControl/>
              <w:snapToGrid w:val="0"/>
              <w:spacing w:line="240" w:lineRule="auto"/>
              <w:jc w:val="center"/>
              <w:rPr>
                <w:rFonts w:ascii="宋体" w:hAnsi="宋体"/>
                <w:bCs/>
                <w:color w:val="000000" w:themeColor="text1"/>
                <w:kern w:val="0"/>
                <w:sz w:val="21"/>
                <w:szCs w:val="21"/>
              </w:rPr>
            </w:pPr>
            <w:r>
              <w:rPr>
                <w:rFonts w:hint="eastAsia" w:ascii="宋体" w:hAnsi="宋体"/>
                <w:bCs/>
                <w:color w:val="000000" w:themeColor="text1"/>
                <w:kern w:val="0"/>
                <w:sz w:val="21"/>
                <w:szCs w:val="21"/>
              </w:rPr>
              <w:t>响应文件密封件数（件）</w:t>
            </w:r>
          </w:p>
        </w:tc>
        <w:tc>
          <w:tcPr>
            <w:tcW w:w="1206" w:type="dxa"/>
            <w:vAlign w:val="center"/>
          </w:tcPr>
          <w:p>
            <w:pPr>
              <w:widowControl/>
              <w:snapToGrid w:val="0"/>
              <w:spacing w:line="240" w:lineRule="auto"/>
              <w:jc w:val="center"/>
              <w:rPr>
                <w:rFonts w:ascii="宋体" w:hAnsi="宋体"/>
                <w:bCs/>
                <w:color w:val="000000" w:themeColor="text1"/>
                <w:kern w:val="0"/>
                <w:sz w:val="21"/>
                <w:szCs w:val="21"/>
              </w:rPr>
            </w:pPr>
            <w:r>
              <w:rPr>
                <w:rFonts w:hint="eastAsia" w:ascii="宋体" w:hAnsi="宋体"/>
                <w:bCs/>
                <w:color w:val="000000" w:themeColor="text1"/>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4" w:type="dxa"/>
          </w:tcPr>
          <w:p>
            <w:pPr>
              <w:widowControl/>
              <w:snapToGrid w:val="0"/>
              <w:jc w:val="center"/>
              <w:rPr>
                <w:rFonts w:ascii="宋体" w:hAnsi="宋体"/>
                <w:bCs/>
                <w:color w:val="000000" w:themeColor="text1"/>
                <w:kern w:val="0"/>
              </w:rPr>
            </w:pPr>
          </w:p>
        </w:tc>
        <w:tc>
          <w:tcPr>
            <w:tcW w:w="3920" w:type="dxa"/>
            <w:vAlign w:val="center"/>
          </w:tcPr>
          <w:p>
            <w:pPr>
              <w:widowControl/>
              <w:snapToGrid w:val="0"/>
              <w:jc w:val="center"/>
              <w:rPr>
                <w:rFonts w:ascii="宋体" w:hAnsi="宋体"/>
                <w:bCs/>
                <w:color w:val="000000" w:themeColor="text1"/>
                <w:kern w:val="0"/>
              </w:rPr>
            </w:pPr>
          </w:p>
        </w:tc>
        <w:tc>
          <w:tcPr>
            <w:tcW w:w="2672" w:type="dxa"/>
            <w:vAlign w:val="center"/>
          </w:tcPr>
          <w:p>
            <w:pPr>
              <w:widowControl/>
              <w:snapToGrid w:val="0"/>
              <w:jc w:val="center"/>
              <w:rPr>
                <w:rFonts w:ascii="宋体" w:hAnsi="宋体"/>
                <w:bCs/>
                <w:color w:val="000000" w:themeColor="text1"/>
                <w:kern w:val="0"/>
              </w:rPr>
            </w:pPr>
          </w:p>
        </w:tc>
        <w:tc>
          <w:tcPr>
            <w:tcW w:w="1206" w:type="dxa"/>
          </w:tcPr>
          <w:p>
            <w:pPr>
              <w:widowControl/>
              <w:snapToGrid w:val="0"/>
              <w:jc w:val="center"/>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4" w:type="dxa"/>
          </w:tcPr>
          <w:p>
            <w:pPr>
              <w:widowControl/>
              <w:snapToGrid w:val="0"/>
              <w:jc w:val="center"/>
              <w:rPr>
                <w:rFonts w:ascii="宋体" w:hAnsi="宋体"/>
                <w:bCs/>
                <w:color w:val="000000" w:themeColor="text1"/>
                <w:kern w:val="0"/>
              </w:rPr>
            </w:pPr>
          </w:p>
        </w:tc>
        <w:tc>
          <w:tcPr>
            <w:tcW w:w="3920" w:type="dxa"/>
            <w:vAlign w:val="center"/>
          </w:tcPr>
          <w:p>
            <w:pPr>
              <w:widowControl/>
              <w:snapToGrid w:val="0"/>
              <w:jc w:val="center"/>
              <w:rPr>
                <w:rFonts w:ascii="宋体" w:hAnsi="宋体"/>
                <w:bCs/>
                <w:color w:val="000000" w:themeColor="text1"/>
                <w:kern w:val="0"/>
              </w:rPr>
            </w:pPr>
          </w:p>
        </w:tc>
        <w:tc>
          <w:tcPr>
            <w:tcW w:w="2672" w:type="dxa"/>
            <w:vAlign w:val="center"/>
          </w:tcPr>
          <w:p>
            <w:pPr>
              <w:widowControl/>
              <w:snapToGrid w:val="0"/>
              <w:jc w:val="center"/>
              <w:rPr>
                <w:rFonts w:ascii="宋体" w:hAnsi="宋体"/>
                <w:bCs/>
                <w:color w:val="000000" w:themeColor="text1"/>
                <w:kern w:val="0"/>
              </w:rPr>
            </w:pPr>
          </w:p>
        </w:tc>
        <w:tc>
          <w:tcPr>
            <w:tcW w:w="1206" w:type="dxa"/>
          </w:tcPr>
          <w:p>
            <w:pPr>
              <w:widowControl/>
              <w:snapToGrid w:val="0"/>
              <w:jc w:val="center"/>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4" w:type="dxa"/>
          </w:tcPr>
          <w:p>
            <w:pPr>
              <w:widowControl/>
              <w:snapToGrid w:val="0"/>
              <w:jc w:val="center"/>
              <w:rPr>
                <w:rFonts w:ascii="宋体" w:hAnsi="宋体"/>
                <w:bCs/>
                <w:color w:val="000000" w:themeColor="text1"/>
                <w:kern w:val="0"/>
              </w:rPr>
            </w:pPr>
          </w:p>
        </w:tc>
        <w:tc>
          <w:tcPr>
            <w:tcW w:w="3920" w:type="dxa"/>
            <w:vAlign w:val="center"/>
          </w:tcPr>
          <w:p>
            <w:pPr>
              <w:widowControl/>
              <w:snapToGrid w:val="0"/>
              <w:jc w:val="center"/>
              <w:rPr>
                <w:rFonts w:ascii="宋体" w:hAnsi="宋体"/>
                <w:bCs/>
                <w:color w:val="000000" w:themeColor="text1"/>
                <w:kern w:val="0"/>
              </w:rPr>
            </w:pPr>
          </w:p>
        </w:tc>
        <w:tc>
          <w:tcPr>
            <w:tcW w:w="2672" w:type="dxa"/>
            <w:vAlign w:val="center"/>
          </w:tcPr>
          <w:p>
            <w:pPr>
              <w:widowControl/>
              <w:snapToGrid w:val="0"/>
              <w:jc w:val="center"/>
              <w:rPr>
                <w:rFonts w:ascii="宋体" w:hAnsi="宋体"/>
                <w:bCs/>
                <w:color w:val="000000" w:themeColor="text1"/>
                <w:kern w:val="0"/>
              </w:rPr>
            </w:pPr>
          </w:p>
        </w:tc>
        <w:tc>
          <w:tcPr>
            <w:tcW w:w="1206" w:type="dxa"/>
          </w:tcPr>
          <w:p>
            <w:pPr>
              <w:widowControl/>
              <w:snapToGrid w:val="0"/>
              <w:jc w:val="center"/>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4" w:type="dxa"/>
          </w:tcPr>
          <w:p>
            <w:pPr>
              <w:widowControl/>
              <w:snapToGrid w:val="0"/>
              <w:jc w:val="center"/>
              <w:rPr>
                <w:rFonts w:ascii="宋体" w:hAnsi="宋体"/>
                <w:bCs/>
                <w:color w:val="000000" w:themeColor="text1"/>
                <w:kern w:val="0"/>
              </w:rPr>
            </w:pPr>
          </w:p>
        </w:tc>
        <w:tc>
          <w:tcPr>
            <w:tcW w:w="3920" w:type="dxa"/>
            <w:vAlign w:val="center"/>
          </w:tcPr>
          <w:p>
            <w:pPr>
              <w:widowControl/>
              <w:snapToGrid w:val="0"/>
              <w:jc w:val="center"/>
              <w:rPr>
                <w:rFonts w:ascii="宋体" w:hAnsi="宋体"/>
                <w:bCs/>
                <w:color w:val="000000" w:themeColor="text1"/>
                <w:kern w:val="0"/>
              </w:rPr>
            </w:pPr>
          </w:p>
        </w:tc>
        <w:tc>
          <w:tcPr>
            <w:tcW w:w="2672" w:type="dxa"/>
            <w:vAlign w:val="center"/>
          </w:tcPr>
          <w:p>
            <w:pPr>
              <w:widowControl/>
              <w:snapToGrid w:val="0"/>
              <w:jc w:val="center"/>
              <w:rPr>
                <w:rFonts w:ascii="宋体" w:hAnsi="宋体"/>
                <w:bCs/>
                <w:color w:val="000000" w:themeColor="text1"/>
                <w:kern w:val="0"/>
              </w:rPr>
            </w:pPr>
          </w:p>
        </w:tc>
        <w:tc>
          <w:tcPr>
            <w:tcW w:w="1206" w:type="dxa"/>
          </w:tcPr>
          <w:p>
            <w:pPr>
              <w:widowControl/>
              <w:snapToGrid w:val="0"/>
              <w:jc w:val="center"/>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4" w:type="dxa"/>
          </w:tcPr>
          <w:p>
            <w:pPr>
              <w:widowControl/>
              <w:snapToGrid w:val="0"/>
              <w:jc w:val="center"/>
              <w:rPr>
                <w:rFonts w:ascii="宋体" w:hAnsi="宋体"/>
                <w:bCs/>
                <w:color w:val="000000" w:themeColor="text1"/>
                <w:kern w:val="0"/>
              </w:rPr>
            </w:pPr>
          </w:p>
        </w:tc>
        <w:tc>
          <w:tcPr>
            <w:tcW w:w="3920" w:type="dxa"/>
          </w:tcPr>
          <w:p>
            <w:pPr>
              <w:widowControl/>
              <w:snapToGrid w:val="0"/>
              <w:jc w:val="center"/>
              <w:rPr>
                <w:rFonts w:ascii="宋体" w:hAnsi="宋体"/>
                <w:bCs/>
                <w:color w:val="000000" w:themeColor="text1"/>
                <w:kern w:val="0"/>
              </w:rPr>
            </w:pPr>
          </w:p>
        </w:tc>
        <w:tc>
          <w:tcPr>
            <w:tcW w:w="2672" w:type="dxa"/>
          </w:tcPr>
          <w:p>
            <w:pPr>
              <w:widowControl/>
              <w:snapToGrid w:val="0"/>
              <w:jc w:val="center"/>
              <w:rPr>
                <w:rFonts w:ascii="宋体" w:hAnsi="宋体"/>
                <w:bCs/>
                <w:color w:val="000000" w:themeColor="text1"/>
                <w:kern w:val="0"/>
              </w:rPr>
            </w:pPr>
          </w:p>
        </w:tc>
        <w:tc>
          <w:tcPr>
            <w:tcW w:w="1206" w:type="dxa"/>
          </w:tcPr>
          <w:p>
            <w:pPr>
              <w:widowControl/>
              <w:snapToGrid w:val="0"/>
              <w:jc w:val="center"/>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left"/>
              <w:rPr>
                <w:rFonts w:ascii="宋体" w:hAnsi="宋体"/>
                <w:bCs/>
                <w:color w:val="000000" w:themeColor="text1"/>
                <w:kern w:val="0"/>
              </w:rPr>
            </w:pPr>
          </w:p>
        </w:tc>
        <w:tc>
          <w:tcPr>
            <w:tcW w:w="3920" w:type="dxa"/>
          </w:tcPr>
          <w:p>
            <w:pPr>
              <w:widowControl/>
              <w:snapToGrid w:val="0"/>
              <w:jc w:val="left"/>
              <w:rPr>
                <w:rFonts w:ascii="宋体" w:hAnsi="宋体"/>
                <w:bCs/>
                <w:color w:val="000000" w:themeColor="text1"/>
                <w:kern w:val="0"/>
              </w:rPr>
            </w:pPr>
          </w:p>
        </w:tc>
        <w:tc>
          <w:tcPr>
            <w:tcW w:w="2672" w:type="dxa"/>
          </w:tcPr>
          <w:p>
            <w:pPr>
              <w:widowControl/>
              <w:snapToGrid w:val="0"/>
              <w:jc w:val="left"/>
              <w:rPr>
                <w:rFonts w:ascii="宋体" w:hAnsi="宋体"/>
                <w:bCs/>
                <w:color w:val="000000" w:themeColor="text1"/>
                <w:kern w:val="0"/>
              </w:rPr>
            </w:pPr>
          </w:p>
        </w:tc>
        <w:tc>
          <w:tcPr>
            <w:tcW w:w="1206" w:type="dxa"/>
          </w:tcPr>
          <w:p>
            <w:pPr>
              <w:widowControl/>
              <w:snapToGrid w:val="0"/>
              <w:jc w:val="left"/>
              <w:rPr>
                <w:rFonts w:ascii="宋体" w:hAnsi="宋体"/>
                <w:bCs/>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widowControl/>
              <w:snapToGrid w:val="0"/>
              <w:jc w:val="right"/>
              <w:rPr>
                <w:rFonts w:ascii="宋体" w:hAnsi="宋体"/>
                <w:bCs/>
                <w:color w:val="000000" w:themeColor="text1"/>
                <w:kern w:val="0"/>
              </w:rPr>
            </w:pPr>
          </w:p>
        </w:tc>
        <w:tc>
          <w:tcPr>
            <w:tcW w:w="3920" w:type="dxa"/>
            <w:vAlign w:val="center"/>
          </w:tcPr>
          <w:p>
            <w:pPr>
              <w:widowControl/>
              <w:snapToGrid w:val="0"/>
              <w:jc w:val="center"/>
              <w:rPr>
                <w:rFonts w:ascii="宋体" w:hAnsi="宋体"/>
                <w:bCs/>
                <w:color w:val="000000" w:themeColor="text1"/>
                <w:kern w:val="0"/>
                <w:szCs w:val="21"/>
              </w:rPr>
            </w:pPr>
            <w:r>
              <w:rPr>
                <w:rFonts w:hint="eastAsia" w:ascii="宋体" w:hAnsi="宋体"/>
                <w:bCs/>
                <w:color w:val="000000" w:themeColor="text1"/>
                <w:kern w:val="0"/>
                <w:szCs w:val="21"/>
              </w:rPr>
              <w:t>共计</w:t>
            </w:r>
          </w:p>
        </w:tc>
        <w:tc>
          <w:tcPr>
            <w:tcW w:w="2672" w:type="dxa"/>
            <w:vAlign w:val="center"/>
          </w:tcPr>
          <w:p>
            <w:pPr>
              <w:widowControl/>
              <w:snapToGrid w:val="0"/>
              <w:ind w:right="960"/>
              <w:jc w:val="center"/>
              <w:rPr>
                <w:rFonts w:ascii="宋体" w:hAnsi="宋体"/>
                <w:bCs/>
                <w:color w:val="000000" w:themeColor="text1"/>
                <w:kern w:val="0"/>
                <w:szCs w:val="21"/>
              </w:rPr>
            </w:pPr>
            <w:r>
              <w:rPr>
                <w:rFonts w:hint="eastAsia" w:ascii="宋体" w:hAnsi="宋体"/>
                <w:bCs/>
                <w:color w:val="000000" w:themeColor="text1"/>
                <w:kern w:val="0"/>
                <w:szCs w:val="21"/>
              </w:rPr>
              <w:t xml:space="preserve">      件</w:t>
            </w:r>
          </w:p>
        </w:tc>
        <w:tc>
          <w:tcPr>
            <w:tcW w:w="1206" w:type="dxa"/>
          </w:tcPr>
          <w:p>
            <w:pPr>
              <w:widowControl/>
              <w:snapToGrid w:val="0"/>
              <w:jc w:val="right"/>
              <w:rPr>
                <w:rFonts w:ascii="宋体" w:hAnsi="宋体"/>
                <w:bCs/>
                <w:color w:val="000000" w:themeColor="text1"/>
                <w:kern w:val="0"/>
              </w:rPr>
            </w:pPr>
          </w:p>
        </w:tc>
      </w:tr>
    </w:tbl>
    <w:p>
      <w:pPr>
        <w:widowControl/>
        <w:snapToGrid w:val="0"/>
        <w:spacing w:beforeLines="30"/>
        <w:ind w:right="238" w:firstLine="240" w:firstLineChars="100"/>
        <w:jc w:val="left"/>
        <w:rPr>
          <w:rFonts w:ascii="宋体" w:hAnsi="宋体"/>
          <w:bCs/>
          <w:color w:val="000000" w:themeColor="text1"/>
          <w:kern w:val="0"/>
          <w:szCs w:val="21"/>
        </w:rPr>
      </w:pPr>
      <w:r>
        <w:rPr>
          <w:rFonts w:hint="eastAsia" w:ascii="宋体" w:hAnsi="宋体"/>
          <w:bCs/>
          <w:color w:val="000000" w:themeColor="text1"/>
          <w:kern w:val="0"/>
          <w:szCs w:val="21"/>
        </w:rPr>
        <w:t xml:space="preserve">经办人签字：                                    </w:t>
      </w:r>
      <w:r>
        <w:rPr>
          <w:rFonts w:hint="eastAsia" w:ascii="宋体" w:hAnsi="宋体"/>
          <w:color w:val="000000" w:themeColor="text1"/>
          <w:sz w:val="21"/>
          <w:szCs w:val="21"/>
        </w:rPr>
        <w:t>年   月   日</w:t>
      </w:r>
    </w:p>
    <w:p>
      <w:pPr>
        <w:tabs>
          <w:tab w:val="left" w:pos="4680"/>
        </w:tabs>
        <w:snapToGrid w:val="0"/>
        <w:rPr>
          <w:rFonts w:ascii="宋体" w:hAnsi="宋体"/>
          <w:bCs/>
          <w:color w:val="000000" w:themeColor="text1"/>
          <w:kern w:val="0"/>
        </w:rPr>
      </w:pPr>
    </w:p>
    <w:p>
      <w:pPr>
        <w:tabs>
          <w:tab w:val="left" w:pos="4680"/>
        </w:tabs>
        <w:snapToGrid w:val="0"/>
        <w:spacing w:afterLines="100"/>
        <w:outlineLvl w:val="1"/>
        <w:rPr>
          <w:rFonts w:ascii="宋体" w:hAnsi="宋体"/>
          <w:bCs/>
          <w:color w:val="000000" w:themeColor="text1"/>
          <w:kern w:val="0"/>
        </w:rPr>
      </w:pPr>
      <w:r>
        <w:rPr>
          <w:rFonts w:ascii="宋体" w:hAnsi="宋体"/>
          <w:bCs/>
          <w:color w:val="000000" w:themeColor="text1"/>
          <w:kern w:val="0"/>
        </w:rPr>
        <w:br w:type="page"/>
      </w:r>
      <w:bookmarkStart w:id="86" w:name="_Toc419140133"/>
      <w:bookmarkStart w:id="87" w:name="_Toc20642693"/>
      <w:bookmarkStart w:id="88" w:name="_Toc419137754"/>
      <w:bookmarkStart w:id="89" w:name="_Toc426215110"/>
      <w:bookmarkStart w:id="90" w:name="_Toc439159888"/>
      <w:bookmarkStart w:id="91" w:name="_Toc419138052"/>
      <w:bookmarkStart w:id="92" w:name="_Toc419136695"/>
      <w:bookmarkStart w:id="93" w:name="_Toc419137602"/>
      <w:bookmarkStart w:id="94" w:name="_Toc419138787"/>
      <w:bookmarkStart w:id="95" w:name="_Toc419139549"/>
      <w:r>
        <w:rPr>
          <w:rFonts w:hint="eastAsia" w:ascii="宋体" w:hAnsi="宋体"/>
          <w:bCs/>
          <w:color w:val="000000" w:themeColor="text1"/>
          <w:kern w:val="0"/>
        </w:rPr>
        <w:t>附件4：响应文件密封核实表</w:t>
      </w:r>
      <w:bookmarkEnd w:id="86"/>
      <w:bookmarkEnd w:id="87"/>
      <w:bookmarkEnd w:id="88"/>
      <w:bookmarkEnd w:id="89"/>
      <w:bookmarkEnd w:id="90"/>
      <w:bookmarkEnd w:id="91"/>
      <w:bookmarkEnd w:id="92"/>
      <w:bookmarkEnd w:id="93"/>
      <w:bookmarkEnd w:id="94"/>
      <w:bookmarkEnd w:id="95"/>
    </w:p>
    <w:p>
      <w:pPr>
        <w:snapToGrid w:val="0"/>
        <w:spacing w:afterLines="50"/>
        <w:jc w:val="center"/>
        <w:rPr>
          <w:b/>
          <w:bCs/>
          <w:color w:val="000000" w:themeColor="text1"/>
          <w:sz w:val="30"/>
          <w:szCs w:val="30"/>
        </w:rPr>
      </w:pPr>
      <w:r>
        <w:rPr>
          <w:rFonts w:hint="eastAsia"/>
          <w:b/>
          <w:bCs/>
          <w:color w:val="000000" w:themeColor="text1"/>
          <w:sz w:val="30"/>
          <w:szCs w:val="30"/>
        </w:rPr>
        <w:t>响应文件密封核实表</w:t>
      </w:r>
    </w:p>
    <w:tbl>
      <w:tblPr>
        <w:tblStyle w:val="60"/>
        <w:tblW w:w="9320" w:type="dxa"/>
        <w:jc w:val="center"/>
        <w:tblLayout w:type="autofit"/>
        <w:tblCellMar>
          <w:top w:w="0" w:type="dxa"/>
          <w:left w:w="108" w:type="dxa"/>
          <w:bottom w:w="0" w:type="dxa"/>
          <w:right w:w="108" w:type="dxa"/>
        </w:tblCellMar>
      </w:tblPr>
      <w:tblGrid>
        <w:gridCol w:w="834"/>
        <w:gridCol w:w="425"/>
        <w:gridCol w:w="2127"/>
        <w:gridCol w:w="5934"/>
      </w:tblGrid>
      <w:tr>
        <w:tblPrEx>
          <w:tblCellMar>
            <w:top w:w="0" w:type="dxa"/>
            <w:left w:w="108" w:type="dxa"/>
            <w:bottom w:w="0" w:type="dxa"/>
            <w:right w:w="108" w:type="dxa"/>
          </w:tblCellMar>
        </w:tblPrEx>
        <w:trPr>
          <w:trHeight w:val="690"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bCs/>
                <w:color w:val="000000" w:themeColor="text1"/>
                <w:sz w:val="21"/>
                <w:szCs w:val="21"/>
              </w:rPr>
              <w:t>采购项目名称</w:t>
            </w:r>
          </w:p>
        </w:tc>
        <w:tc>
          <w:tcPr>
            <w:tcW w:w="59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auto"/>
              <w:ind w:firstLine="284"/>
              <w:jc w:val="center"/>
              <w:rPr>
                <w:rFonts w:hAnsi="宋体"/>
                <w:bCs/>
                <w:color w:val="000000" w:themeColor="text1"/>
                <w:kern w:val="0"/>
                <w:sz w:val="30"/>
                <w:szCs w:val="30"/>
              </w:rPr>
            </w:pPr>
            <w:r>
              <w:rPr>
                <w:rFonts w:hint="eastAsia" w:hAnsi="宋体"/>
                <w:bCs/>
                <w:color w:val="000000" w:themeColor="text1"/>
                <w:kern w:val="0"/>
                <w:sz w:val="30"/>
                <w:szCs w:val="30"/>
              </w:rPr>
              <w:t>2022-2023年度土建、安装零星检维修项目</w:t>
            </w:r>
          </w:p>
        </w:tc>
      </w:tr>
      <w:tr>
        <w:tblPrEx>
          <w:tblCellMar>
            <w:top w:w="0" w:type="dxa"/>
            <w:left w:w="108" w:type="dxa"/>
            <w:bottom w:w="0" w:type="dxa"/>
            <w:right w:w="108" w:type="dxa"/>
          </w:tblCellMar>
        </w:tblPrEx>
        <w:trPr>
          <w:trHeight w:val="690"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bCs/>
                <w:color w:val="000000" w:themeColor="text1"/>
                <w:sz w:val="21"/>
                <w:szCs w:val="21"/>
              </w:rPr>
            </w:pPr>
            <w:r>
              <w:rPr>
                <w:rFonts w:hint="eastAsia" w:ascii="宋体" w:hAnsi="宋体" w:cs="宋体"/>
                <w:color w:val="000000" w:themeColor="text1"/>
                <w:kern w:val="0"/>
                <w:sz w:val="21"/>
                <w:szCs w:val="21"/>
              </w:rPr>
              <w:t>采购项目编号</w:t>
            </w:r>
          </w:p>
        </w:tc>
        <w:tc>
          <w:tcPr>
            <w:tcW w:w="593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w:t>
            </w:r>
          </w:p>
        </w:tc>
      </w:tr>
      <w:tr>
        <w:tblPrEx>
          <w:tblCellMar>
            <w:top w:w="0" w:type="dxa"/>
            <w:left w:w="108" w:type="dxa"/>
            <w:bottom w:w="0" w:type="dxa"/>
            <w:right w:w="108" w:type="dxa"/>
          </w:tblCellMar>
        </w:tblPrEx>
        <w:trPr>
          <w:trHeight w:val="690"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采购人</w:t>
            </w:r>
          </w:p>
        </w:tc>
        <w:tc>
          <w:tcPr>
            <w:tcW w:w="593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中石化南京化工机械有限公司</w:t>
            </w:r>
          </w:p>
        </w:tc>
      </w:tr>
      <w:tr>
        <w:tblPrEx>
          <w:tblCellMar>
            <w:top w:w="0" w:type="dxa"/>
            <w:left w:w="108" w:type="dxa"/>
            <w:bottom w:w="0" w:type="dxa"/>
            <w:right w:w="108" w:type="dxa"/>
          </w:tblCellMar>
        </w:tblPrEx>
        <w:trPr>
          <w:trHeight w:val="690"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招标代理机构</w:t>
            </w:r>
          </w:p>
        </w:tc>
        <w:tc>
          <w:tcPr>
            <w:tcW w:w="593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w:t>
            </w:r>
          </w:p>
        </w:tc>
      </w:tr>
      <w:tr>
        <w:tblPrEx>
          <w:tblCellMar>
            <w:top w:w="0" w:type="dxa"/>
            <w:left w:w="108" w:type="dxa"/>
            <w:bottom w:w="0" w:type="dxa"/>
            <w:right w:w="108" w:type="dxa"/>
          </w:tblCellMar>
        </w:tblPrEx>
        <w:trPr>
          <w:trHeight w:val="690"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响应文件包装件数量</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接收   件，核实  件</w:t>
            </w:r>
          </w:p>
        </w:tc>
      </w:tr>
      <w:tr>
        <w:tblPrEx>
          <w:tblCellMar>
            <w:top w:w="0" w:type="dxa"/>
            <w:left w:w="108" w:type="dxa"/>
            <w:bottom w:w="0" w:type="dxa"/>
            <w:right w:w="108" w:type="dxa"/>
          </w:tblCellMar>
        </w:tblPrEx>
        <w:trPr>
          <w:trHeight w:val="596"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核实场所</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化机公司生产机动部</w:t>
            </w:r>
          </w:p>
        </w:tc>
      </w:tr>
      <w:tr>
        <w:tblPrEx>
          <w:tblCellMar>
            <w:top w:w="0" w:type="dxa"/>
            <w:left w:w="108" w:type="dxa"/>
            <w:bottom w:w="0" w:type="dxa"/>
            <w:right w:w="108" w:type="dxa"/>
          </w:tblCellMar>
        </w:tblPrEx>
        <w:trPr>
          <w:trHeight w:val="690"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核实时间</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ind w:firstLine="420" w:firstLineChars="200"/>
              <w:jc w:val="left"/>
              <w:rPr>
                <w:rFonts w:ascii="宋体" w:hAnsi="宋体" w:cs="宋体"/>
                <w:color w:val="000000" w:themeColor="text1"/>
                <w:kern w:val="0"/>
                <w:sz w:val="21"/>
                <w:szCs w:val="21"/>
              </w:rPr>
            </w:pPr>
            <w:r>
              <w:rPr>
                <w:rFonts w:hint="eastAsia" w:ascii="宋体" w:hAnsi="宋体"/>
                <w:color w:val="000000" w:themeColor="text1"/>
                <w:sz w:val="21"/>
                <w:szCs w:val="21"/>
              </w:rPr>
              <w:t>年   月 日 时  分-  时   分</w:t>
            </w:r>
          </w:p>
        </w:tc>
      </w:tr>
      <w:tr>
        <w:tblPrEx>
          <w:tblCellMar>
            <w:top w:w="0" w:type="dxa"/>
            <w:left w:w="108" w:type="dxa"/>
            <w:bottom w:w="0" w:type="dxa"/>
            <w:right w:w="108" w:type="dxa"/>
          </w:tblCellMar>
        </w:tblPrEx>
        <w:trPr>
          <w:trHeight w:val="573" w:hRule="atLeast"/>
          <w:jc w:val="center"/>
        </w:trPr>
        <w:tc>
          <w:tcPr>
            <w:tcW w:w="125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密封情况</w:t>
            </w:r>
          </w:p>
        </w:tc>
        <w:tc>
          <w:tcPr>
            <w:tcW w:w="2127"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封口封条粘贴</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r>
              <w:rPr>
                <w:rFonts w:hint="eastAsia" w:ascii="宋体" w:hAnsi="宋体" w:cs="宋体"/>
                <w:color w:val="000000" w:themeColor="text1"/>
                <w:kern w:val="0"/>
                <w:sz w:val="21"/>
                <w:szCs w:val="21"/>
              </w:rPr>
              <w:t>□有  □无 异常</w:t>
            </w:r>
          </w:p>
        </w:tc>
      </w:tr>
      <w:tr>
        <w:tblPrEx>
          <w:tblCellMar>
            <w:top w:w="0" w:type="dxa"/>
            <w:left w:w="108" w:type="dxa"/>
            <w:bottom w:w="0" w:type="dxa"/>
            <w:right w:w="108" w:type="dxa"/>
          </w:tblCellMar>
        </w:tblPrEx>
        <w:trPr>
          <w:trHeight w:val="582" w:hRule="atLeast"/>
          <w:jc w:val="center"/>
        </w:trPr>
        <w:tc>
          <w:tcPr>
            <w:tcW w:w="1259"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2127"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签字或盖章</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r>
              <w:rPr>
                <w:rFonts w:hint="eastAsia" w:ascii="宋体" w:hAnsi="宋体" w:cs="宋体"/>
                <w:color w:val="000000" w:themeColor="text1"/>
                <w:kern w:val="0"/>
                <w:sz w:val="21"/>
                <w:szCs w:val="21"/>
              </w:rPr>
              <w:t>□有  □无 异常</w:t>
            </w:r>
          </w:p>
        </w:tc>
      </w:tr>
      <w:tr>
        <w:tblPrEx>
          <w:tblCellMar>
            <w:top w:w="0" w:type="dxa"/>
            <w:left w:w="108" w:type="dxa"/>
            <w:bottom w:w="0" w:type="dxa"/>
            <w:right w:w="108" w:type="dxa"/>
          </w:tblCellMar>
        </w:tblPrEx>
        <w:trPr>
          <w:trHeight w:val="578" w:hRule="atLeast"/>
          <w:jc w:val="center"/>
        </w:trPr>
        <w:tc>
          <w:tcPr>
            <w:tcW w:w="1259"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2127"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密封面标注</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r>
              <w:rPr>
                <w:rFonts w:hint="eastAsia" w:ascii="宋体" w:hAnsi="宋体" w:cs="宋体"/>
                <w:color w:val="000000" w:themeColor="text1"/>
                <w:kern w:val="0"/>
                <w:sz w:val="21"/>
                <w:szCs w:val="21"/>
              </w:rPr>
              <w:t>□有  □无 异常</w:t>
            </w:r>
          </w:p>
        </w:tc>
      </w:tr>
      <w:tr>
        <w:tblPrEx>
          <w:tblCellMar>
            <w:top w:w="0" w:type="dxa"/>
            <w:left w:w="108" w:type="dxa"/>
            <w:bottom w:w="0" w:type="dxa"/>
            <w:right w:w="108" w:type="dxa"/>
          </w:tblCellMar>
        </w:tblPrEx>
        <w:trPr>
          <w:trHeight w:val="460" w:hRule="atLeast"/>
          <w:jc w:val="center"/>
        </w:trPr>
        <w:tc>
          <w:tcPr>
            <w:tcW w:w="1259"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2127"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其他</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1157" w:hRule="atLeast"/>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异常情况说明及处理意见</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990" w:hRule="atLeast"/>
          <w:jc w:val="center"/>
        </w:trPr>
        <w:tc>
          <w:tcPr>
            <w:tcW w:w="834"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签字确认</w:t>
            </w:r>
          </w:p>
        </w:tc>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评审小组全体成员签字</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982" w:hRule="atLeast"/>
          <w:jc w:val="center"/>
        </w:trPr>
        <w:tc>
          <w:tcPr>
            <w:tcW w:w="834" w:type="dxa"/>
            <w:vMerge w:val="continue"/>
            <w:tcBorders>
              <w:left w:val="single" w:color="auto" w:sz="4" w:space="0"/>
              <w:right w:val="single" w:color="auto" w:sz="4" w:space="0"/>
            </w:tcBorders>
            <w:shd w:val="clear" w:color="auto" w:fill="auto"/>
            <w:vAlign w:val="center"/>
          </w:tcPr>
          <w:p>
            <w:pPr>
              <w:widowControl/>
              <w:snapToGrid w:val="0"/>
              <w:jc w:val="right"/>
              <w:rPr>
                <w:rFonts w:ascii="宋体" w:hAnsi="宋体" w:cs="宋体"/>
                <w:color w:val="000000" w:themeColor="text1"/>
                <w:kern w:val="0"/>
                <w:sz w:val="21"/>
                <w:szCs w:val="21"/>
              </w:rPr>
            </w:pPr>
          </w:p>
        </w:tc>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其他参与检查人员签字</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854" w:hRule="atLeast"/>
          <w:jc w:val="center"/>
        </w:trPr>
        <w:tc>
          <w:tcPr>
            <w:tcW w:w="834"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jc w:val="right"/>
              <w:rPr>
                <w:rFonts w:ascii="宋体" w:hAnsi="宋体" w:cs="宋体"/>
                <w:color w:val="000000" w:themeColor="text1"/>
                <w:kern w:val="0"/>
                <w:sz w:val="21"/>
                <w:szCs w:val="21"/>
              </w:rPr>
            </w:pPr>
          </w:p>
        </w:tc>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监督人签字</w:t>
            </w:r>
          </w:p>
        </w:tc>
        <w:tc>
          <w:tcPr>
            <w:tcW w:w="5934" w:type="dxa"/>
            <w:tcBorders>
              <w:top w:val="nil"/>
              <w:left w:val="nil"/>
              <w:bottom w:val="single" w:color="auto" w:sz="4" w:space="0"/>
              <w:right w:val="single" w:color="auto" w:sz="4" w:space="0"/>
            </w:tcBorders>
            <w:shd w:val="clear" w:color="auto" w:fill="auto"/>
            <w:vAlign w:val="center"/>
          </w:tcPr>
          <w:p>
            <w:pPr>
              <w:widowControl/>
              <w:snapToGrid w:val="0"/>
              <w:rPr>
                <w:rFonts w:ascii="宋体" w:hAnsi="宋体" w:cs="宋体"/>
                <w:color w:val="000000" w:themeColor="text1"/>
                <w:kern w:val="0"/>
                <w:sz w:val="21"/>
                <w:szCs w:val="21"/>
              </w:rPr>
            </w:pPr>
          </w:p>
        </w:tc>
      </w:tr>
    </w:tbl>
    <w:p>
      <w:pPr>
        <w:tabs>
          <w:tab w:val="left" w:pos="4680"/>
        </w:tabs>
        <w:snapToGrid w:val="0"/>
        <w:spacing w:afterLines="100"/>
        <w:outlineLvl w:val="1"/>
        <w:rPr>
          <w:rFonts w:ascii="宋体" w:hAnsi="宋体"/>
          <w:bCs/>
          <w:color w:val="000000" w:themeColor="text1"/>
          <w:kern w:val="0"/>
        </w:rPr>
        <w:sectPr>
          <w:pgSz w:w="11906" w:h="16838"/>
          <w:pgMar w:top="1440" w:right="1800" w:bottom="1440" w:left="1800" w:header="737" w:footer="992" w:gutter="0"/>
          <w:cols w:space="425" w:num="1"/>
          <w:docGrid w:linePitch="326" w:charSpace="0"/>
        </w:sectPr>
      </w:pPr>
      <w:bookmarkStart w:id="96" w:name="_Toc419136696"/>
      <w:bookmarkStart w:id="97" w:name="_Toc439159889"/>
      <w:bookmarkStart w:id="98" w:name="_Toc419137603"/>
      <w:bookmarkStart w:id="99" w:name="_Toc426215111"/>
      <w:bookmarkStart w:id="100" w:name="_Toc419137755"/>
      <w:bookmarkStart w:id="101" w:name="_Toc419138053"/>
      <w:bookmarkStart w:id="102" w:name="_Toc419138788"/>
      <w:bookmarkStart w:id="103" w:name="_Toc419140134"/>
      <w:bookmarkStart w:id="104" w:name="_Toc419139550"/>
    </w:p>
    <w:p>
      <w:pPr>
        <w:tabs>
          <w:tab w:val="left" w:pos="4680"/>
        </w:tabs>
        <w:snapToGrid w:val="0"/>
        <w:spacing w:afterLines="100"/>
        <w:outlineLvl w:val="1"/>
        <w:rPr>
          <w:rFonts w:ascii="宋体" w:hAnsi="宋体"/>
          <w:bCs/>
          <w:color w:val="000000" w:themeColor="text1"/>
          <w:kern w:val="0"/>
        </w:rPr>
      </w:pPr>
      <w:bookmarkStart w:id="105" w:name="_Toc20642694"/>
      <w:r>
        <w:rPr>
          <w:rFonts w:hint="eastAsia" w:ascii="宋体" w:hAnsi="宋体"/>
          <w:bCs/>
          <w:color w:val="000000" w:themeColor="text1"/>
          <w:kern w:val="0"/>
        </w:rPr>
        <w:t>附件5：响应文件登记表</w:t>
      </w:r>
      <w:bookmarkEnd w:id="96"/>
      <w:bookmarkEnd w:id="97"/>
      <w:bookmarkEnd w:id="98"/>
      <w:bookmarkEnd w:id="99"/>
      <w:bookmarkEnd w:id="100"/>
      <w:bookmarkEnd w:id="101"/>
      <w:bookmarkEnd w:id="102"/>
      <w:bookmarkEnd w:id="103"/>
      <w:bookmarkEnd w:id="104"/>
      <w:bookmarkEnd w:id="105"/>
    </w:p>
    <w:p>
      <w:pPr>
        <w:snapToGrid w:val="0"/>
        <w:spacing w:afterLines="150"/>
        <w:jc w:val="center"/>
        <w:rPr>
          <w:b/>
          <w:bCs/>
          <w:color w:val="000000" w:themeColor="text1"/>
          <w:sz w:val="30"/>
          <w:szCs w:val="30"/>
        </w:rPr>
      </w:pPr>
      <w:r>
        <w:rPr>
          <w:rFonts w:hint="eastAsia"/>
          <w:b/>
          <w:bCs/>
          <w:color w:val="000000" w:themeColor="text1"/>
          <w:sz w:val="30"/>
          <w:szCs w:val="30"/>
        </w:rPr>
        <w:t>响应文件登记表</w:t>
      </w:r>
    </w:p>
    <w:p>
      <w:pPr>
        <w:adjustRightInd w:val="0"/>
        <w:snapToGrid w:val="0"/>
        <w:spacing w:line="240" w:lineRule="auto"/>
        <w:rPr>
          <w:rFonts w:hAnsi="宋体"/>
          <w:bCs/>
          <w:color w:val="000000" w:themeColor="text1"/>
          <w:kern w:val="0"/>
          <w:sz w:val="30"/>
          <w:szCs w:val="30"/>
        </w:rPr>
      </w:pPr>
      <w:r>
        <w:rPr>
          <w:rFonts w:hint="eastAsia" w:ascii="宋体" w:hAnsi="宋体"/>
          <w:bCs/>
          <w:color w:val="000000" w:themeColor="text1"/>
          <w:sz w:val="21"/>
          <w:szCs w:val="21"/>
        </w:rPr>
        <w:t>采购项目名称：2022-2023年度土建、安装零星检维修项目</w:t>
      </w:r>
    </w:p>
    <w:p>
      <w:pPr>
        <w:adjustRightInd w:val="0"/>
        <w:snapToGrid w:val="0"/>
        <w:spacing w:line="240" w:lineRule="auto"/>
        <w:rPr>
          <w:rFonts w:hAnsi="宋体"/>
          <w:bCs/>
          <w:color w:val="000000" w:themeColor="text1"/>
          <w:kern w:val="0"/>
          <w:sz w:val="30"/>
          <w:szCs w:val="30"/>
        </w:rPr>
      </w:pPr>
      <w:r>
        <w:rPr>
          <w:rFonts w:hint="eastAsia" w:ascii="宋体" w:hAnsi="宋体"/>
          <w:color w:val="000000" w:themeColor="text1"/>
          <w:sz w:val="21"/>
          <w:szCs w:val="21"/>
        </w:rPr>
        <w:t xml:space="preserve">采购人：中石化南京化工机械有限公司                                              </w:t>
      </w:r>
    </w:p>
    <w:tbl>
      <w:tblPr>
        <w:tblStyle w:val="60"/>
        <w:tblW w:w="5000" w:type="pct"/>
        <w:jc w:val="center"/>
        <w:tblLayout w:type="fixed"/>
        <w:tblCellMar>
          <w:top w:w="0" w:type="dxa"/>
          <w:left w:w="108" w:type="dxa"/>
          <w:bottom w:w="0" w:type="dxa"/>
          <w:right w:w="108" w:type="dxa"/>
        </w:tblCellMar>
      </w:tblPr>
      <w:tblGrid>
        <w:gridCol w:w="539"/>
        <w:gridCol w:w="3113"/>
        <w:gridCol w:w="1701"/>
        <w:gridCol w:w="2128"/>
        <w:gridCol w:w="1133"/>
        <w:gridCol w:w="672"/>
      </w:tblGrid>
      <w:tr>
        <w:tblPrEx>
          <w:tblCellMar>
            <w:top w:w="0" w:type="dxa"/>
            <w:left w:w="108" w:type="dxa"/>
            <w:bottom w:w="0" w:type="dxa"/>
            <w:right w:w="108" w:type="dxa"/>
          </w:tblCellMar>
        </w:tblPrEx>
        <w:trPr>
          <w:trHeight w:val="390" w:hRule="atLeast"/>
          <w:jc w:val="center"/>
        </w:trPr>
        <w:tc>
          <w:tcPr>
            <w:tcW w:w="29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序号</w:t>
            </w:r>
          </w:p>
        </w:tc>
        <w:tc>
          <w:tcPr>
            <w:tcW w:w="167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承包商名称</w:t>
            </w:r>
          </w:p>
        </w:tc>
        <w:tc>
          <w:tcPr>
            <w:tcW w:w="9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项目经理姓名</w:t>
            </w:r>
          </w:p>
        </w:tc>
        <w:tc>
          <w:tcPr>
            <w:tcW w:w="175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文件份数</w:t>
            </w:r>
          </w:p>
        </w:tc>
        <w:tc>
          <w:tcPr>
            <w:tcW w:w="36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备注</w:t>
            </w:r>
          </w:p>
        </w:tc>
      </w:tr>
      <w:tr>
        <w:tblPrEx>
          <w:tblCellMar>
            <w:top w:w="0" w:type="dxa"/>
            <w:left w:w="108" w:type="dxa"/>
            <w:bottom w:w="0" w:type="dxa"/>
            <w:right w:w="108" w:type="dxa"/>
          </w:tblCellMar>
        </w:tblPrEx>
        <w:trPr>
          <w:trHeight w:val="465" w:hRule="atLeast"/>
          <w:jc w:val="center"/>
        </w:trPr>
        <w:tc>
          <w:tcPr>
            <w:tcW w:w="29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1676"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916"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纸版文件</w:t>
            </w: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电子文件</w:t>
            </w:r>
          </w:p>
        </w:tc>
        <w:tc>
          <w:tcPr>
            <w:tcW w:w="362"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 w:val="21"/>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正本 本 副本本</w:t>
            </w: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 xml:space="preserve"> 份</w:t>
            </w: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r>
              <w:rPr>
                <w:rFonts w:hint="eastAsia" w:ascii="宋体" w:hAnsi="宋体" w:cs="宋体"/>
                <w:color w:val="000000" w:themeColor="text1"/>
                <w:kern w:val="0"/>
                <w:sz w:val="21"/>
                <w:szCs w:val="21"/>
              </w:rPr>
              <w:t>正本  本 副本本</w:t>
            </w: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r>
              <w:rPr>
                <w:rFonts w:hint="eastAsia" w:ascii="宋体" w:hAnsi="宋体" w:cs="宋体"/>
                <w:color w:val="000000" w:themeColor="text1"/>
                <w:kern w:val="0"/>
                <w:sz w:val="21"/>
                <w:szCs w:val="21"/>
              </w:rPr>
              <w:t>份</w:t>
            </w: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r>
              <w:rPr>
                <w:rFonts w:hint="eastAsia" w:ascii="宋体" w:hAnsi="宋体" w:cs="宋体"/>
                <w:color w:val="000000" w:themeColor="text1"/>
                <w:kern w:val="0"/>
                <w:sz w:val="21"/>
                <w:szCs w:val="21"/>
              </w:rPr>
              <w:t>正本  本 副本本</w:t>
            </w: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r>
              <w:rPr>
                <w:rFonts w:hint="eastAsia" w:ascii="宋体" w:hAnsi="宋体" w:cs="宋体"/>
                <w:color w:val="000000" w:themeColor="text1"/>
                <w:kern w:val="0"/>
                <w:sz w:val="21"/>
                <w:szCs w:val="21"/>
              </w:rPr>
              <w:t>份</w:t>
            </w: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r>
              <w:rPr>
                <w:rFonts w:hint="eastAsia" w:ascii="宋体" w:hAnsi="宋体" w:cs="宋体"/>
                <w:color w:val="000000" w:themeColor="text1"/>
                <w:kern w:val="0"/>
                <w:sz w:val="21"/>
                <w:szCs w:val="21"/>
              </w:rPr>
              <w:t>正本  本 副本本</w:t>
            </w: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r>
              <w:rPr>
                <w:rFonts w:hint="eastAsia" w:ascii="宋体" w:hAnsi="宋体" w:cs="宋体"/>
                <w:color w:val="000000" w:themeColor="text1"/>
                <w:kern w:val="0"/>
                <w:sz w:val="21"/>
                <w:szCs w:val="21"/>
              </w:rPr>
              <w:t>份</w:t>
            </w: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420" w:hRule="atLeast"/>
          <w:jc w:val="center"/>
        </w:trPr>
        <w:tc>
          <w:tcPr>
            <w:tcW w:w="290"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p>
        </w:tc>
        <w:tc>
          <w:tcPr>
            <w:tcW w:w="1676"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p>
        </w:tc>
        <w:tc>
          <w:tcPr>
            <w:tcW w:w="916" w:type="pct"/>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color w:val="000000" w:themeColor="text1"/>
                <w:kern w:val="0"/>
                <w:szCs w:val="21"/>
              </w:rPr>
            </w:pPr>
          </w:p>
        </w:tc>
        <w:tc>
          <w:tcPr>
            <w:tcW w:w="1146"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610" w:type="pct"/>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cs="宋体"/>
                <w:color w:val="000000" w:themeColor="text1"/>
                <w:kern w:val="0"/>
                <w:szCs w:val="21"/>
              </w:rPr>
            </w:pPr>
          </w:p>
        </w:tc>
        <w:tc>
          <w:tcPr>
            <w:tcW w:w="362" w:type="pct"/>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2081"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tcPr>
          <w:p>
            <w:pPr>
              <w:widowControl/>
              <w:snapToGrid w:val="0"/>
              <w:spacing w:beforeLines="30"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说明：（1）是否存在承包商之间采购文件相互混装的情况:</w:t>
            </w:r>
          </w:p>
          <w:p>
            <w:pPr>
              <w:widowControl/>
              <w:snapToGrid w:val="0"/>
              <w:spacing w:line="240" w:lineRule="auto"/>
              <w:ind w:firstLine="630" w:firstLineChars="300"/>
              <w:rPr>
                <w:rFonts w:ascii="宋体" w:hAnsi="宋体" w:cs="宋体"/>
                <w:color w:val="000000" w:themeColor="text1"/>
                <w:kern w:val="0"/>
                <w:szCs w:val="21"/>
              </w:rPr>
            </w:pPr>
            <w:r>
              <w:rPr>
                <w:rFonts w:hint="eastAsia" w:ascii="宋体" w:hAnsi="宋体" w:cs="宋体"/>
                <w:color w:val="000000" w:themeColor="text1"/>
                <w:kern w:val="0"/>
                <w:sz w:val="21"/>
                <w:szCs w:val="21"/>
              </w:rPr>
              <w:t>（2）其他情况：</w:t>
            </w:r>
          </w:p>
          <w:p>
            <w:pPr>
              <w:widowControl/>
              <w:snapToGrid w:val="0"/>
              <w:rPr>
                <w:rFonts w:ascii="宋体" w:hAnsi="宋体" w:cs="宋体"/>
                <w:color w:val="000000" w:themeColor="text1"/>
                <w:kern w:val="0"/>
                <w:szCs w:val="21"/>
              </w:rPr>
            </w:pPr>
            <w:r>
              <w:rPr>
                <w:rFonts w:hint="eastAsia" w:ascii="宋体" w:hAnsi="宋体" w:cs="宋体"/>
                <w:color w:val="000000" w:themeColor="text1"/>
                <w:kern w:val="0"/>
                <w:szCs w:val="21"/>
              </w:rPr>
              <w:t>　</w:t>
            </w:r>
          </w:p>
          <w:p>
            <w:pPr>
              <w:widowControl/>
              <w:snapToGrid w:val="0"/>
              <w:rPr>
                <w:rFonts w:ascii="宋体" w:hAnsi="宋体" w:cs="宋体"/>
                <w:color w:val="000000" w:themeColor="text1"/>
                <w:kern w:val="0"/>
                <w:szCs w:val="21"/>
              </w:rPr>
            </w:pPr>
          </w:p>
          <w:p>
            <w:pPr>
              <w:widowControl/>
              <w:snapToGrid w:val="0"/>
              <w:rPr>
                <w:rFonts w:ascii="宋体" w:hAnsi="宋体" w:cs="宋体"/>
                <w:color w:val="000000" w:themeColor="text1"/>
                <w:kern w:val="0"/>
                <w:szCs w:val="21"/>
              </w:rPr>
            </w:pPr>
          </w:p>
        </w:tc>
      </w:tr>
    </w:tbl>
    <w:p>
      <w:pPr>
        <w:tabs>
          <w:tab w:val="left" w:pos="4680"/>
        </w:tabs>
        <w:snapToGrid w:val="0"/>
        <w:spacing w:beforeLines="30"/>
        <w:jc w:val="left"/>
        <w:rPr>
          <w:rFonts w:ascii="宋体" w:hAnsi="宋体"/>
          <w:color w:val="000000" w:themeColor="text1"/>
        </w:rPr>
        <w:sectPr>
          <w:footerReference r:id="rId6" w:type="default"/>
          <w:pgSz w:w="11906" w:h="16838"/>
          <w:pgMar w:top="1418" w:right="1418" w:bottom="1418" w:left="1418" w:header="737" w:footer="992" w:gutter="0"/>
          <w:cols w:space="425" w:num="1"/>
          <w:docGrid w:linePitch="326" w:charSpace="0"/>
        </w:sectPr>
      </w:pPr>
      <w:r>
        <w:rPr>
          <w:rFonts w:hint="eastAsia" w:ascii="宋体" w:hAnsi="宋体"/>
          <w:bCs/>
          <w:color w:val="000000" w:themeColor="text1"/>
          <w:szCs w:val="21"/>
        </w:rPr>
        <w:t xml:space="preserve">经办人签字：                   监督人签字：                  </w:t>
      </w:r>
      <w:r>
        <w:rPr>
          <w:rFonts w:hint="eastAsia" w:ascii="宋体" w:hAnsi="宋体"/>
          <w:color w:val="000000" w:themeColor="text1"/>
          <w:sz w:val="21"/>
          <w:szCs w:val="21"/>
        </w:rPr>
        <w:t>年   月   日</w:t>
      </w:r>
      <w:r>
        <w:rPr>
          <w:rFonts w:ascii="宋体" w:hAnsi="宋体"/>
          <w:color w:val="000000" w:themeColor="text1"/>
        </w:rPr>
        <w:t xml:space="preserve"> </w:t>
      </w:r>
    </w:p>
    <w:p>
      <w:pPr>
        <w:pStyle w:val="3"/>
        <w:rPr>
          <w:rFonts w:ascii="宋体" w:hAnsi="宋体"/>
          <w:b w:val="0"/>
          <w:bCs w:val="0"/>
          <w:color w:val="000000" w:themeColor="text1"/>
        </w:rPr>
      </w:pPr>
      <w:bookmarkStart w:id="106" w:name="_Toc20642695"/>
      <w:r>
        <w:rPr>
          <w:rFonts w:hint="eastAsia" w:ascii="宋体" w:hAnsi="宋体"/>
          <w:b w:val="0"/>
          <w:color w:val="000000" w:themeColor="text1"/>
        </w:rPr>
        <w:t>附件6：成交通知书</w:t>
      </w:r>
      <w:bookmarkEnd w:id="106"/>
    </w:p>
    <w:p>
      <w:pPr>
        <w:autoSpaceDE w:val="0"/>
        <w:autoSpaceDN w:val="0"/>
        <w:spacing w:afterLines="150" w:line="240" w:lineRule="auto"/>
        <w:jc w:val="center"/>
        <w:rPr>
          <w:rFonts w:ascii="宋体" w:hAnsi="宋体"/>
          <w:b/>
          <w:color w:val="000000" w:themeColor="text1"/>
          <w:sz w:val="30"/>
          <w:szCs w:val="30"/>
        </w:rPr>
      </w:pPr>
      <w:r>
        <w:rPr>
          <w:rFonts w:hint="eastAsia" w:ascii="宋体" w:hAnsi="宋体"/>
          <w:b/>
          <w:color w:val="000000" w:themeColor="text1"/>
          <w:sz w:val="30"/>
          <w:szCs w:val="30"/>
        </w:rPr>
        <w:t>成交通知书</w:t>
      </w:r>
    </w:p>
    <w:p>
      <w:pPr>
        <w:rPr>
          <w:rFonts w:ascii="宋体" w:hAnsi="宋体"/>
          <w:color w:val="000000" w:themeColor="text1"/>
        </w:rPr>
      </w:pPr>
      <w:r>
        <w:rPr>
          <w:rFonts w:hint="eastAsia" w:ascii="宋体" w:hAnsi="宋体"/>
          <w:color w:val="000000" w:themeColor="text1"/>
        </w:rPr>
        <w:t>（成交人名称）：</w:t>
      </w:r>
    </w:p>
    <w:p>
      <w:pPr>
        <w:ind w:firstLine="480" w:firstLineChars="200"/>
        <w:rPr>
          <w:rFonts w:ascii="宋体" w:hAnsi="宋体"/>
          <w:color w:val="000000" w:themeColor="text1"/>
        </w:rPr>
      </w:pPr>
      <w:r>
        <w:rPr>
          <w:rFonts w:hint="eastAsia" w:ascii="宋体" w:hAnsi="宋体"/>
          <w:color w:val="000000" w:themeColor="text1"/>
        </w:rPr>
        <w:t>你方递交的(采购项目名称)响应文件已被采购人接受，被确定为成交人。</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1302"/>
        <w:gridCol w:w="258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工程名称</w:t>
            </w:r>
          </w:p>
        </w:tc>
        <w:tc>
          <w:tcPr>
            <w:tcW w:w="3721"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建设地点</w:t>
            </w:r>
          </w:p>
        </w:tc>
        <w:tc>
          <w:tcPr>
            <w:tcW w:w="3721"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成交范围</w:t>
            </w:r>
          </w:p>
        </w:tc>
        <w:tc>
          <w:tcPr>
            <w:tcW w:w="3721"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1"/>
                <w:szCs w:val="21"/>
              </w:rPr>
            </w:pPr>
            <w:r>
              <w:rPr>
                <w:rFonts w:hint="eastAsia" w:ascii="宋体" w:hAnsi="宋体"/>
                <w:color w:val="000000" w:themeColor="text1"/>
                <w:sz w:val="21"/>
                <w:szCs w:val="21"/>
              </w:rPr>
              <w:t>成交价款</w:t>
            </w:r>
          </w:p>
        </w:tc>
        <w:tc>
          <w:tcPr>
            <w:tcW w:w="3721" w:type="pct"/>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1"/>
                <w:szCs w:val="21"/>
                <w:u w:val="single"/>
              </w:rPr>
            </w:pPr>
            <w:r>
              <w:rPr>
                <w:rFonts w:hint="eastAsia" w:ascii="宋体" w:hAnsi="宋体"/>
                <w:color w:val="000000" w:themeColor="text1"/>
                <w:sz w:val="21"/>
                <w:szCs w:val="21"/>
              </w:rPr>
              <w:t>人民币大写xxxxxxxx元（小写：xxxxxxxx元）/综合降点率xx%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质量</w:t>
            </w:r>
          </w:p>
        </w:tc>
        <w:tc>
          <w:tcPr>
            <w:tcW w:w="3721" w:type="pct"/>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工期</w:t>
            </w:r>
          </w:p>
        </w:tc>
        <w:tc>
          <w:tcPr>
            <w:tcW w:w="3721" w:type="pct"/>
            <w:gridSpan w:val="3"/>
            <w:tcBorders>
              <w:top w:val="single" w:color="auto" w:sz="4" w:space="0"/>
              <w:left w:val="single" w:color="auto" w:sz="4" w:space="0"/>
              <w:bottom w:val="single" w:color="auto" w:sz="4" w:space="0"/>
              <w:right w:val="single" w:color="auto" w:sz="4" w:space="0"/>
            </w:tcBorders>
            <w:vAlign w:val="center"/>
          </w:tcPr>
          <w:p>
            <w:pPr>
              <w:rPr>
                <w:rFonts w:ascii="宋体" w:hAnsi="宋体"/>
                <w:strike/>
                <w:color w:val="000000" w:themeColor="text1"/>
                <w:sz w:val="21"/>
                <w:szCs w:val="21"/>
              </w:rPr>
            </w:pPr>
            <w:r>
              <w:rPr>
                <w:rFonts w:hint="eastAsia" w:ascii="宋体" w:hAnsi="宋体"/>
                <w:color w:val="000000" w:themeColor="text1"/>
                <w:sz w:val="21"/>
                <w:szCs w:val="21"/>
              </w:rPr>
              <w:t>xxx天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项目经理姓名</w:t>
            </w:r>
          </w:p>
        </w:tc>
        <w:tc>
          <w:tcPr>
            <w:tcW w:w="764"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p>
        </w:tc>
        <w:tc>
          <w:tcPr>
            <w:tcW w:w="1514"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注册执业证书名称及编号/职称证书名称及编号/其他证书名称及编号</w:t>
            </w:r>
          </w:p>
        </w:tc>
        <w:tc>
          <w:tcPr>
            <w:tcW w:w="1443"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r>
              <w:rPr>
                <w:rFonts w:hint="eastAsia" w:ascii="宋体" w:hAnsi="宋体"/>
                <w:color w:val="000000" w:themeColor="text1"/>
                <w:sz w:val="21"/>
                <w:szCs w:val="21"/>
              </w:rPr>
              <w:t>备注</w:t>
            </w:r>
          </w:p>
        </w:tc>
        <w:tc>
          <w:tcPr>
            <w:tcW w:w="3721"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z w:val="21"/>
                <w:szCs w:val="21"/>
              </w:rPr>
            </w:pPr>
          </w:p>
        </w:tc>
      </w:tr>
    </w:tbl>
    <w:p>
      <w:pPr>
        <w:ind w:firstLine="480" w:firstLineChars="200"/>
        <w:rPr>
          <w:rFonts w:ascii="宋体" w:hAnsi="宋体"/>
          <w:color w:val="000000" w:themeColor="text1"/>
        </w:rPr>
      </w:pPr>
      <w:r>
        <w:rPr>
          <w:rFonts w:hint="eastAsia" w:ascii="宋体" w:hAnsi="宋体"/>
          <w:color w:val="000000" w:themeColor="text1"/>
        </w:rPr>
        <w:t>请你方在接到本通知书后的xx日内到（指定地址场所名称）与采购人签订本采购项目合同。</w:t>
      </w:r>
    </w:p>
    <w:p>
      <w:pPr>
        <w:rPr>
          <w:color w:val="000000" w:themeColor="text1"/>
        </w:rPr>
      </w:pPr>
    </w:p>
    <w:p>
      <w:pPr>
        <w:rPr>
          <w:color w:val="000000" w:themeColor="text1"/>
        </w:rPr>
      </w:pPr>
    </w:p>
    <w:p>
      <w:pPr>
        <w:ind w:right="120"/>
        <w:jc w:val="right"/>
        <w:rPr>
          <w:rFonts w:ascii="宋体" w:hAnsi="宋体"/>
          <w:color w:val="000000" w:themeColor="text1"/>
        </w:rPr>
      </w:pPr>
      <w:r>
        <w:rPr>
          <w:rFonts w:hint="eastAsia" w:ascii="宋体" w:hAnsi="宋体"/>
          <w:color w:val="000000" w:themeColor="text1"/>
        </w:rPr>
        <w:t>采购人:（盖单位章）</w:t>
      </w:r>
    </w:p>
    <w:p>
      <w:pPr>
        <w:wordWrap w:val="0"/>
        <w:spacing w:line="480" w:lineRule="auto"/>
        <w:ind w:firstLine="475" w:firstLineChars="198"/>
        <w:jc w:val="right"/>
        <w:rPr>
          <w:rFonts w:ascii="宋体" w:hAnsi="宋体"/>
          <w:color w:val="000000" w:themeColor="text1"/>
        </w:rPr>
      </w:pPr>
      <w:r>
        <w:rPr>
          <w:rFonts w:hint="eastAsia" w:ascii="宋体" w:hAnsi="宋体"/>
          <w:color w:val="000000" w:themeColor="text1"/>
        </w:rPr>
        <w:t xml:space="preserve">   xxxx年xx月xx日</w:t>
      </w:r>
    </w:p>
    <w:p>
      <w:pPr>
        <w:keepNext/>
        <w:keepLines/>
        <w:spacing w:afterLines="100"/>
        <w:outlineLvl w:val="1"/>
        <w:rPr>
          <w:rFonts w:ascii="宋体" w:hAnsi="宋体"/>
          <w:bCs/>
          <w:color w:val="000000" w:themeColor="text1"/>
          <w:kern w:val="0"/>
          <w:szCs w:val="32"/>
        </w:rPr>
        <w:sectPr>
          <w:footerReference r:id="rId7" w:type="default"/>
          <w:pgSz w:w="11906" w:h="16838"/>
          <w:pgMar w:top="1440" w:right="1800" w:bottom="1440" w:left="1800" w:header="737" w:footer="992" w:gutter="0"/>
          <w:cols w:space="425" w:num="1"/>
          <w:docGrid w:linePitch="326" w:charSpace="0"/>
        </w:sectPr>
      </w:pPr>
      <w:bookmarkStart w:id="107" w:name="_Toc526793308"/>
    </w:p>
    <w:p>
      <w:pPr>
        <w:keepNext/>
        <w:keepLines/>
        <w:pageBreakBefore/>
        <w:outlineLvl w:val="1"/>
        <w:rPr>
          <w:rFonts w:ascii="Arial" w:hAnsi="Arial"/>
          <w:bCs/>
          <w:color w:val="000000" w:themeColor="text1"/>
          <w:kern w:val="0"/>
          <w:szCs w:val="32"/>
        </w:rPr>
      </w:pPr>
      <w:bookmarkStart w:id="108" w:name="_Toc488912934"/>
      <w:bookmarkStart w:id="109" w:name="_Toc20642696"/>
      <w:r>
        <w:rPr>
          <w:rFonts w:hint="eastAsia" w:ascii="Arial" w:hAnsi="Arial"/>
          <w:bCs/>
          <w:color w:val="000000" w:themeColor="text1"/>
          <w:kern w:val="0"/>
          <w:szCs w:val="32"/>
        </w:rPr>
        <w:t>附件7：</w:t>
      </w:r>
      <w:bookmarkEnd w:id="108"/>
      <w:r>
        <w:rPr>
          <w:rFonts w:hint="eastAsia" w:ascii="宋体" w:hAnsi="宋体"/>
          <w:color w:val="000000" w:themeColor="text1"/>
        </w:rPr>
        <w:t>成交结果通知书</w:t>
      </w:r>
      <w:bookmarkEnd w:id="109"/>
    </w:p>
    <w:p>
      <w:pPr>
        <w:autoSpaceDE w:val="0"/>
        <w:autoSpaceDN w:val="0"/>
        <w:spacing w:afterLines="150"/>
        <w:jc w:val="center"/>
        <w:rPr>
          <w:rFonts w:ascii="宋体" w:hAnsi="宋体"/>
          <w:b/>
          <w:color w:val="000000" w:themeColor="text1"/>
          <w:sz w:val="30"/>
          <w:szCs w:val="30"/>
        </w:rPr>
      </w:pPr>
      <w:r>
        <w:rPr>
          <w:rFonts w:hint="eastAsia" w:ascii="宋体" w:hAnsi="宋体"/>
          <w:b/>
          <w:color w:val="000000" w:themeColor="text1"/>
          <w:sz w:val="30"/>
          <w:szCs w:val="30"/>
        </w:rPr>
        <w:t>成交结果通知书</w:t>
      </w:r>
    </w:p>
    <w:p>
      <w:pPr>
        <w:ind w:firstLine="480" w:firstLineChars="200"/>
        <w:rPr>
          <w:color w:val="000000" w:themeColor="text1"/>
        </w:rPr>
      </w:pPr>
      <w:r>
        <w:rPr>
          <w:rFonts w:hint="eastAsia"/>
          <w:color w:val="000000" w:themeColor="text1"/>
        </w:rPr>
        <w:t>采购人</w:t>
      </w:r>
      <w:r>
        <w:rPr>
          <w:color w:val="000000" w:themeColor="text1"/>
        </w:rPr>
        <w:t>已接受（</w:t>
      </w:r>
      <w:r>
        <w:rPr>
          <w:rFonts w:hint="eastAsia"/>
          <w:color w:val="000000" w:themeColor="text1"/>
        </w:rPr>
        <w:t>成交人</w:t>
      </w:r>
      <w:r>
        <w:rPr>
          <w:color w:val="000000" w:themeColor="text1"/>
        </w:rPr>
        <w:t>名称）所递交的</w:t>
      </w:r>
      <w:r>
        <w:rPr>
          <w:rFonts w:hint="eastAsia" w:ascii="宋体" w:hAnsi="宋体"/>
          <w:color w:val="000000" w:themeColor="text1"/>
        </w:rPr>
        <w:t>(采购项目名称)响应</w:t>
      </w:r>
      <w:r>
        <w:rPr>
          <w:color w:val="000000" w:themeColor="text1"/>
        </w:rPr>
        <w:t>文件，确定（</w:t>
      </w:r>
      <w:r>
        <w:rPr>
          <w:rFonts w:hint="eastAsia"/>
          <w:color w:val="000000" w:themeColor="text1"/>
        </w:rPr>
        <w:t>成交人</w:t>
      </w:r>
      <w:r>
        <w:rPr>
          <w:color w:val="000000" w:themeColor="text1"/>
        </w:rPr>
        <w:t>名称）为</w:t>
      </w:r>
      <w:r>
        <w:rPr>
          <w:rFonts w:hint="eastAsia"/>
          <w:color w:val="000000" w:themeColor="text1"/>
        </w:rPr>
        <w:t>成交</w:t>
      </w:r>
      <w:r>
        <w:rPr>
          <w:color w:val="000000" w:themeColor="text1"/>
        </w:rPr>
        <w:t>人。</w:t>
      </w:r>
    </w:p>
    <w:p>
      <w:pPr>
        <w:ind w:firstLine="480" w:firstLineChars="200"/>
        <w:rPr>
          <w:color w:val="000000" w:themeColor="text1"/>
        </w:rPr>
      </w:pPr>
      <w:r>
        <w:rPr>
          <w:color w:val="000000" w:themeColor="text1"/>
        </w:rPr>
        <w:t>　　</w:t>
      </w:r>
    </w:p>
    <w:p>
      <w:pPr>
        <w:ind w:firstLine="465"/>
        <w:rPr>
          <w:color w:val="000000" w:themeColor="text1"/>
        </w:rPr>
      </w:pPr>
    </w:p>
    <w:p>
      <w:pPr>
        <w:ind w:firstLine="465"/>
        <w:rPr>
          <w:color w:val="000000" w:themeColor="text1"/>
        </w:rPr>
      </w:pPr>
    </w:p>
    <w:p>
      <w:pPr>
        <w:ind w:firstLine="465"/>
        <w:rPr>
          <w:color w:val="000000" w:themeColor="text1"/>
        </w:rPr>
      </w:pPr>
    </w:p>
    <w:p>
      <w:pPr>
        <w:spacing w:line="480" w:lineRule="auto"/>
        <w:ind w:firstLine="475" w:firstLineChars="198"/>
        <w:jc w:val="right"/>
        <w:rPr>
          <w:rFonts w:ascii="宋体" w:hAnsi="宋体"/>
          <w:color w:val="000000" w:themeColor="text1"/>
        </w:rPr>
      </w:pPr>
      <w:r>
        <w:rPr>
          <w:rFonts w:hint="eastAsia" w:ascii="宋体" w:hAnsi="宋体"/>
          <w:color w:val="000000" w:themeColor="text1"/>
        </w:rPr>
        <w:t>采购人:（盖单位章）</w:t>
      </w:r>
    </w:p>
    <w:p>
      <w:pPr>
        <w:ind w:firstLine="6000" w:firstLineChars="2500"/>
        <w:rPr>
          <w:rFonts w:ascii="宋体" w:hAnsi="宋体"/>
          <w:color w:val="000000" w:themeColor="text1"/>
        </w:rPr>
      </w:pPr>
      <w:r>
        <w:rPr>
          <w:rFonts w:hint="eastAsia" w:ascii="宋体" w:hAnsi="宋体"/>
          <w:color w:val="000000" w:themeColor="text1"/>
        </w:rPr>
        <w:t xml:space="preserve"> xxxx年xx月xx日</w:t>
      </w:r>
    </w:p>
    <w:p>
      <w:pPr>
        <w:rPr>
          <w:rFonts w:ascii="宋体" w:hAnsi="宋体"/>
          <w:color w:val="000000" w:themeColor="text1"/>
        </w:rPr>
      </w:pPr>
    </w:p>
    <w:p>
      <w:pPr>
        <w:keepNext/>
        <w:keepLines/>
        <w:spacing w:afterLines="100"/>
        <w:outlineLvl w:val="1"/>
        <w:rPr>
          <w:rFonts w:ascii="宋体" w:hAnsi="宋体"/>
          <w:color w:val="000000" w:themeColor="text1"/>
        </w:rPr>
        <w:sectPr>
          <w:pgSz w:w="11906" w:h="16838"/>
          <w:pgMar w:top="1440" w:right="1800" w:bottom="1440" w:left="1800" w:header="737" w:footer="992" w:gutter="0"/>
          <w:cols w:space="425" w:num="1"/>
          <w:docGrid w:linePitch="326" w:charSpace="0"/>
        </w:sectPr>
      </w:pPr>
    </w:p>
    <w:bookmarkEnd w:id="28"/>
    <w:bookmarkEnd w:id="107"/>
    <w:p>
      <w:pPr>
        <w:keepNext/>
        <w:keepLines/>
        <w:spacing w:afterLines="100"/>
        <w:outlineLvl w:val="1"/>
        <w:rPr>
          <w:rFonts w:ascii="宋体" w:hAnsi="宋体"/>
          <w:b/>
          <w:color w:val="000000" w:themeColor="text1"/>
          <w:kern w:val="0"/>
          <w:szCs w:val="32"/>
        </w:rPr>
      </w:pPr>
      <w:bookmarkStart w:id="110" w:name="_Toc20642697"/>
      <w:r>
        <w:rPr>
          <w:rFonts w:hint="eastAsia" w:ascii="宋体" w:hAnsi="宋体"/>
          <w:bCs/>
          <w:color w:val="000000" w:themeColor="text1"/>
          <w:kern w:val="0"/>
          <w:szCs w:val="32"/>
        </w:rPr>
        <w:t>附件8：评审小组成员及其他人员签到表</w:t>
      </w:r>
      <w:bookmarkEnd w:id="110"/>
    </w:p>
    <w:tbl>
      <w:tblPr>
        <w:tblStyle w:val="60"/>
        <w:tblW w:w="9556" w:type="dxa"/>
        <w:tblInd w:w="0" w:type="dxa"/>
        <w:tblLayout w:type="autofit"/>
        <w:tblCellMar>
          <w:top w:w="0" w:type="dxa"/>
          <w:left w:w="108" w:type="dxa"/>
          <w:bottom w:w="0" w:type="dxa"/>
          <w:right w:w="108" w:type="dxa"/>
        </w:tblCellMar>
      </w:tblPr>
      <w:tblGrid>
        <w:gridCol w:w="717"/>
        <w:gridCol w:w="984"/>
        <w:gridCol w:w="1526"/>
        <w:gridCol w:w="1134"/>
        <w:gridCol w:w="1276"/>
        <w:gridCol w:w="1275"/>
        <w:gridCol w:w="738"/>
        <w:gridCol w:w="1249"/>
        <w:gridCol w:w="657"/>
      </w:tblGrid>
      <w:tr>
        <w:tblPrEx>
          <w:tblCellMar>
            <w:top w:w="0" w:type="dxa"/>
            <w:left w:w="108" w:type="dxa"/>
            <w:bottom w:w="0" w:type="dxa"/>
            <w:right w:w="108" w:type="dxa"/>
          </w:tblCellMar>
        </w:tblPrEx>
        <w:trPr>
          <w:trHeight w:val="765" w:hRule="atLeast"/>
        </w:trPr>
        <w:tc>
          <w:tcPr>
            <w:tcW w:w="9556" w:type="dxa"/>
            <w:gridSpan w:val="9"/>
            <w:tcBorders>
              <w:top w:val="nil"/>
              <w:left w:val="nil"/>
              <w:bottom w:val="nil"/>
              <w:right w:val="nil"/>
            </w:tcBorders>
            <w:shd w:val="clear" w:color="auto" w:fill="auto"/>
            <w:noWrap/>
          </w:tcPr>
          <w:p>
            <w:pPr>
              <w:widowControl/>
              <w:spacing w:line="240" w:lineRule="auto"/>
              <w:jc w:val="center"/>
              <w:rPr>
                <w:rFonts w:ascii="宋体" w:hAnsi="宋体" w:cs="宋体"/>
                <w:b/>
                <w:bCs/>
                <w:color w:val="000000" w:themeColor="text1"/>
                <w:kern w:val="0"/>
                <w:sz w:val="30"/>
                <w:szCs w:val="30"/>
              </w:rPr>
            </w:pPr>
            <w:r>
              <w:rPr>
                <w:rFonts w:hint="eastAsia" w:ascii="宋体" w:hAnsi="宋体" w:cs="宋体"/>
                <w:b/>
                <w:bCs/>
                <w:color w:val="000000" w:themeColor="text1"/>
                <w:kern w:val="0"/>
                <w:sz w:val="30"/>
                <w:szCs w:val="30"/>
              </w:rPr>
              <w:t>评审小组成员及其他人员签到表</w:t>
            </w:r>
          </w:p>
        </w:tc>
      </w:tr>
      <w:tr>
        <w:tblPrEx>
          <w:tblCellMar>
            <w:top w:w="0" w:type="dxa"/>
            <w:left w:w="108" w:type="dxa"/>
            <w:bottom w:w="0" w:type="dxa"/>
            <w:right w:w="108" w:type="dxa"/>
          </w:tblCellMar>
        </w:tblPrEx>
        <w:trPr>
          <w:trHeight w:val="300" w:hRule="atLeast"/>
        </w:trPr>
        <w:tc>
          <w:tcPr>
            <w:tcW w:w="6912" w:type="dxa"/>
            <w:gridSpan w:val="6"/>
            <w:tcBorders>
              <w:top w:val="nil"/>
              <w:left w:val="nil"/>
              <w:bottom w:val="nil"/>
              <w:right w:val="nil"/>
            </w:tcBorders>
            <w:shd w:val="clear" w:color="auto" w:fill="auto"/>
            <w:noWrap/>
            <w:vAlign w:val="center"/>
          </w:tcPr>
          <w:p>
            <w:pPr>
              <w:adjustRightInd w:val="0"/>
              <w:snapToGrid w:val="0"/>
              <w:spacing w:line="240" w:lineRule="auto"/>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采购项目名称：</w:t>
            </w:r>
            <w:r>
              <w:rPr>
                <w:rFonts w:hint="eastAsia" w:ascii="宋体" w:hAnsi="宋体"/>
                <w:bCs/>
                <w:color w:val="000000" w:themeColor="text1"/>
                <w:sz w:val="21"/>
                <w:szCs w:val="21"/>
              </w:rPr>
              <w:t>2022-2023年度土建、安装零星检维修项目</w:t>
            </w:r>
          </w:p>
          <w:p>
            <w:pPr>
              <w:widowControl/>
              <w:spacing w:line="240" w:lineRule="auto"/>
              <w:jc w:val="left"/>
              <w:rPr>
                <w:rFonts w:ascii="宋体" w:hAnsi="宋体" w:cs="宋体"/>
                <w:color w:val="000000" w:themeColor="text1"/>
                <w:kern w:val="0"/>
                <w:sz w:val="21"/>
                <w:szCs w:val="21"/>
              </w:rPr>
            </w:pPr>
          </w:p>
        </w:tc>
        <w:tc>
          <w:tcPr>
            <w:tcW w:w="2644" w:type="dxa"/>
            <w:gridSpan w:val="3"/>
            <w:tcBorders>
              <w:top w:val="nil"/>
              <w:left w:val="nil"/>
              <w:bottom w:val="nil"/>
              <w:right w:val="nil"/>
            </w:tcBorders>
            <w:shd w:val="clear" w:color="auto" w:fill="auto"/>
            <w:noWrap/>
            <w:vAlign w:val="center"/>
          </w:tcPr>
          <w:p>
            <w:pPr>
              <w:widowControl/>
              <w:spacing w:line="240" w:lineRule="auto"/>
              <w:jc w:val="left"/>
              <w:rPr>
                <w:rFonts w:ascii="宋体" w:hAnsi="宋体" w:cs="宋体"/>
                <w:bCs/>
                <w:color w:val="000000" w:themeColor="text1"/>
                <w:kern w:val="0"/>
                <w:sz w:val="21"/>
                <w:szCs w:val="21"/>
              </w:rPr>
            </w:pPr>
          </w:p>
        </w:tc>
      </w:tr>
      <w:tr>
        <w:tblPrEx>
          <w:tblCellMar>
            <w:top w:w="0" w:type="dxa"/>
            <w:left w:w="108" w:type="dxa"/>
            <w:bottom w:w="0" w:type="dxa"/>
            <w:right w:w="108" w:type="dxa"/>
          </w:tblCellMar>
        </w:tblPrEx>
        <w:trPr>
          <w:trHeight w:val="652" w:hRule="atLeast"/>
        </w:trPr>
        <w:tc>
          <w:tcPr>
            <w:tcW w:w="717" w:type="dxa"/>
            <w:tcBorders>
              <w:top w:val="double" w:color="auto" w:sz="6" w:space="0"/>
              <w:left w:val="double" w:color="auto" w:sz="6" w:space="0"/>
              <w:bottom w:val="single" w:color="auto"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序号</w:t>
            </w:r>
          </w:p>
        </w:tc>
        <w:tc>
          <w:tcPr>
            <w:tcW w:w="984" w:type="dxa"/>
            <w:tcBorders>
              <w:top w:val="doub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姓名</w:t>
            </w:r>
          </w:p>
        </w:tc>
        <w:tc>
          <w:tcPr>
            <w:tcW w:w="1526" w:type="dxa"/>
            <w:tcBorders>
              <w:top w:val="doub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工作单位及</w:t>
            </w:r>
          </w:p>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部门名称</w:t>
            </w:r>
          </w:p>
        </w:tc>
        <w:tc>
          <w:tcPr>
            <w:tcW w:w="1134" w:type="dxa"/>
            <w:tcBorders>
              <w:top w:val="doub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职称</w:t>
            </w:r>
          </w:p>
        </w:tc>
        <w:tc>
          <w:tcPr>
            <w:tcW w:w="1276" w:type="dxa"/>
            <w:tcBorders>
              <w:top w:val="doub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联系电话</w:t>
            </w:r>
          </w:p>
        </w:tc>
        <w:tc>
          <w:tcPr>
            <w:tcW w:w="1275" w:type="dxa"/>
            <w:tcBorders>
              <w:top w:val="double" w:color="auto" w:sz="6" w:space="0"/>
              <w:left w:val="single" w:color="auto" w:sz="4" w:space="0"/>
              <w:bottom w:val="single" w:color="000000"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专家证号</w:t>
            </w:r>
          </w:p>
        </w:tc>
        <w:tc>
          <w:tcPr>
            <w:tcW w:w="738" w:type="dxa"/>
            <w:tcBorders>
              <w:top w:val="doub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专家专业</w:t>
            </w:r>
          </w:p>
        </w:tc>
        <w:tc>
          <w:tcPr>
            <w:tcW w:w="1249" w:type="dxa"/>
            <w:tcBorders>
              <w:top w:val="doub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身份证号</w:t>
            </w:r>
          </w:p>
        </w:tc>
        <w:tc>
          <w:tcPr>
            <w:tcW w:w="657" w:type="dxa"/>
            <w:tcBorders>
              <w:top w:val="double" w:color="auto" w:sz="6" w:space="0"/>
              <w:left w:val="single" w:color="auto" w:sz="4" w:space="0"/>
              <w:bottom w:val="single" w:color="auto" w:sz="4" w:space="0"/>
              <w:right w:val="double" w:color="auto" w:sz="6" w:space="0"/>
            </w:tcBorders>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备注</w:t>
            </w: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一</w:t>
            </w:r>
          </w:p>
        </w:tc>
        <w:tc>
          <w:tcPr>
            <w:tcW w:w="8839" w:type="dxa"/>
            <w:gridSpan w:val="8"/>
            <w:tcBorders>
              <w:top w:val="nil"/>
              <w:left w:val="nil"/>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评审小组成员</w:t>
            </w: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微软雅黑" w:hAnsi="微软雅黑" w:eastAsia="微软雅黑" w:cs="宋体"/>
                <w:b/>
                <w:bCs/>
                <w:color w:val="000000" w:themeColor="text1"/>
                <w:kern w:val="0"/>
                <w:sz w:val="22"/>
                <w:szCs w:val="22"/>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二　</w:t>
            </w:r>
          </w:p>
        </w:tc>
        <w:tc>
          <w:tcPr>
            <w:tcW w:w="492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r>
              <w:rPr>
                <w:rFonts w:hint="eastAsia" w:ascii="宋体" w:hAnsi="宋体" w:cs="宋体"/>
                <w:bCs/>
                <w:color w:val="000000" w:themeColor="text1"/>
                <w:kern w:val="0"/>
                <w:sz w:val="21"/>
                <w:szCs w:val="21"/>
              </w:rPr>
              <w:t>其他人员</w:t>
            </w:r>
            <w:r>
              <w:rPr>
                <w:rFonts w:hint="eastAsia" w:ascii="宋体" w:hAnsi="宋体" w:cs="宋体"/>
                <w:color w:val="000000" w:themeColor="text1"/>
                <w:kern w:val="0"/>
                <w:sz w:val="18"/>
                <w:szCs w:val="18"/>
              </w:rPr>
              <w:t>　</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p>
        </w:tc>
        <w:tc>
          <w:tcPr>
            <w:tcW w:w="1249"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nil"/>
              <w:left w:val="double" w:color="auto" w:sz="6"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nil"/>
              <w:left w:val="single" w:color="auto" w:sz="4" w:space="0"/>
              <w:bottom w:val="single" w:color="auto" w:sz="4"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402" w:hRule="atLeast"/>
        </w:trPr>
        <w:tc>
          <w:tcPr>
            <w:tcW w:w="717" w:type="dxa"/>
            <w:tcBorders>
              <w:top w:val="single" w:color="auto" w:sz="4" w:space="0"/>
              <w:left w:val="double" w:color="auto" w:sz="6" w:space="0"/>
              <w:bottom w:val="double" w:color="auto" w:sz="6"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984" w:type="dxa"/>
            <w:tcBorders>
              <w:top w:val="nil"/>
              <w:left w:val="nil"/>
              <w:bottom w:val="double" w:color="auto" w:sz="6"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526" w:type="dxa"/>
            <w:tcBorders>
              <w:top w:val="nil"/>
              <w:left w:val="nil"/>
              <w:bottom w:val="double" w:color="auto" w:sz="6"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18"/>
                <w:szCs w:val="18"/>
              </w:rPr>
            </w:pPr>
          </w:p>
        </w:tc>
        <w:tc>
          <w:tcPr>
            <w:tcW w:w="1134" w:type="dxa"/>
            <w:tcBorders>
              <w:top w:val="nil"/>
              <w:left w:val="nil"/>
              <w:bottom w:val="double" w:color="auto" w:sz="6"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6" w:type="dxa"/>
            <w:tcBorders>
              <w:top w:val="nil"/>
              <w:left w:val="nil"/>
              <w:bottom w:val="double" w:color="auto" w:sz="6"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75" w:type="dxa"/>
            <w:tcBorders>
              <w:top w:val="nil"/>
              <w:left w:val="nil"/>
              <w:bottom w:val="double" w:color="auto" w:sz="6"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738" w:type="dxa"/>
            <w:tcBorders>
              <w:top w:val="nil"/>
              <w:left w:val="nil"/>
              <w:bottom w:val="double" w:color="auto" w:sz="6"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1249" w:type="dxa"/>
            <w:tcBorders>
              <w:top w:val="nil"/>
              <w:left w:val="nil"/>
              <w:bottom w:val="double" w:color="auto" w:sz="6" w:space="0"/>
              <w:right w:val="nil"/>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c>
          <w:tcPr>
            <w:tcW w:w="657" w:type="dxa"/>
            <w:tcBorders>
              <w:top w:val="single" w:color="auto" w:sz="4" w:space="0"/>
              <w:left w:val="single" w:color="auto" w:sz="4" w:space="0"/>
              <w:bottom w:val="double" w:color="auto" w:sz="6" w:space="0"/>
              <w:right w:val="double" w:color="auto" w:sz="6" w:space="0"/>
            </w:tcBorders>
            <w:shd w:val="clear" w:color="auto" w:fill="auto"/>
            <w:noWrap/>
            <w:vAlign w:val="center"/>
          </w:tcPr>
          <w:p>
            <w:pPr>
              <w:widowControl/>
              <w:spacing w:line="240" w:lineRule="auto"/>
              <w:jc w:val="left"/>
              <w:rPr>
                <w:rFonts w:ascii="宋体" w:hAnsi="宋体" w:cs="宋体"/>
                <w:color w:val="000000" w:themeColor="text1"/>
                <w:kern w:val="0"/>
                <w:sz w:val="18"/>
                <w:szCs w:val="18"/>
              </w:rPr>
            </w:pPr>
          </w:p>
        </w:tc>
      </w:tr>
    </w:tbl>
    <w:p>
      <w:pPr>
        <w:rPr>
          <w:rFonts w:asciiTheme="minorEastAsia" w:hAnsiTheme="minorEastAsia" w:eastAsiaTheme="minorEastAsia"/>
          <w:bCs/>
          <w:color w:val="000000" w:themeColor="text1"/>
        </w:rPr>
        <w:sectPr>
          <w:footerReference r:id="rId8" w:type="default"/>
          <w:pgSz w:w="11906" w:h="16838"/>
          <w:pgMar w:top="1418" w:right="1418" w:bottom="1418" w:left="1418" w:header="851" w:footer="992" w:gutter="0"/>
          <w:cols w:space="720" w:num="1"/>
          <w:docGrid w:type="lines" w:linePitch="286" w:charSpace="0"/>
        </w:sectPr>
      </w:pPr>
    </w:p>
    <w:p>
      <w:pPr>
        <w:pStyle w:val="2"/>
        <w:spacing w:line="360" w:lineRule="auto"/>
        <w:rPr>
          <w:bCs w:val="0"/>
          <w:color w:val="000000" w:themeColor="text1"/>
        </w:rPr>
      </w:pPr>
      <w:bookmarkStart w:id="111" w:name="_Toc20642698"/>
      <w:r>
        <w:rPr>
          <w:rFonts w:hint="eastAsia"/>
          <w:bCs w:val="0"/>
          <w:color w:val="000000" w:themeColor="text1"/>
        </w:rPr>
        <w:t>第三章 报价说明</w:t>
      </w:r>
      <w:bookmarkEnd w:id="111"/>
    </w:p>
    <w:p>
      <w:pPr>
        <w:jc w:val="left"/>
        <w:outlineLvl w:val="1"/>
        <w:rPr>
          <w:rFonts w:ascii="宋体" w:hAnsi="宋体"/>
          <w:color w:val="000000" w:themeColor="text1"/>
        </w:rPr>
      </w:pPr>
      <w:r>
        <w:rPr>
          <w:rFonts w:hint="eastAsia" w:ascii="宋体" w:hAnsi="宋体"/>
          <w:color w:val="000000" w:themeColor="text1"/>
        </w:rPr>
        <w:t>报价方式：工程造价的综合降点率（固定综合降点率），初次报价</w:t>
      </w:r>
      <w:r>
        <w:rPr>
          <w:rFonts w:hint="eastAsia" w:ascii="宋体" w:hAnsi="宋体"/>
          <w:color w:val="000000" w:themeColor="text1"/>
          <w:sz w:val="21"/>
          <w:szCs w:val="21"/>
        </w:rPr>
        <w:t>综合降点率不得低于3%，</w:t>
      </w:r>
      <w:r>
        <w:rPr>
          <w:rFonts w:hint="eastAsia" w:ascii="宋体" w:hAnsi="宋体"/>
          <w:color w:val="000000" w:themeColor="text1"/>
        </w:rPr>
        <w:t>此次报价可进行多轮，最终按照约定的最后一轮报价高低确定成交人。</w:t>
      </w:r>
    </w:p>
    <w:p>
      <w:pPr>
        <w:pStyle w:val="3"/>
        <w:rPr>
          <w:b w:val="0"/>
          <w:color w:val="000000" w:themeColor="text1"/>
        </w:rPr>
      </w:pPr>
      <w:bookmarkStart w:id="112" w:name="_Toc6295145"/>
      <w:r>
        <w:rPr>
          <w:rFonts w:hint="eastAsia"/>
          <w:color w:val="000000" w:themeColor="text1"/>
        </w:rPr>
        <w:t>1．固定综合降点率的报价依据及施工图预算的编制依据</w:t>
      </w:r>
      <w:bookmarkEnd w:id="112"/>
    </w:p>
    <w:p>
      <w:pPr>
        <w:ind w:firstLine="480" w:firstLineChars="200"/>
        <w:rPr>
          <w:rFonts w:ascii="宋体" w:hAnsi="宋体"/>
          <w:color w:val="000000" w:themeColor="text1"/>
        </w:rPr>
      </w:pPr>
      <w:r>
        <w:rPr>
          <w:rFonts w:hint="eastAsia" w:ascii="宋体" w:hAnsi="宋体"/>
          <w:color w:val="000000" w:themeColor="text1"/>
        </w:rPr>
        <w:t>1.1国家、中国石化、工程所在地省（市）现行建设工程定额、计价管理办法等。其中：</w:t>
      </w:r>
    </w:p>
    <w:p>
      <w:pPr>
        <w:snapToGrid w:val="0"/>
        <w:ind w:firstLine="465"/>
        <w:rPr>
          <w:rFonts w:ascii="宋体" w:hAnsi="宋体"/>
          <w:color w:val="000000" w:themeColor="text1"/>
        </w:rPr>
      </w:pPr>
      <w:r>
        <w:rPr>
          <w:rFonts w:hint="eastAsia" w:ascii="宋体" w:hAnsi="宋体"/>
          <w:color w:val="000000" w:themeColor="text1"/>
        </w:rPr>
        <w:t>（1）安装工程执行《石油化工安装工程预算定额》（2007版）。检修定额执行石油化工行业检修工程预算定额（2009版）。</w:t>
      </w:r>
    </w:p>
    <w:p>
      <w:pPr>
        <w:snapToGrid w:val="0"/>
        <w:ind w:firstLine="465"/>
        <w:rPr>
          <w:rFonts w:ascii="宋体" w:hAnsi="宋体"/>
          <w:color w:val="000000" w:themeColor="text1"/>
        </w:rPr>
      </w:pPr>
      <w:r>
        <w:rPr>
          <w:rFonts w:hint="eastAsia" w:ascii="宋体" w:hAnsi="宋体"/>
          <w:color w:val="000000" w:themeColor="text1"/>
        </w:rPr>
        <w:t>（2）建筑工程执行2014年江苏省建筑与装饰工程计价定额。2009年江苏省修缮工程计价定额。</w:t>
      </w:r>
    </w:p>
    <w:p>
      <w:pPr>
        <w:snapToGrid w:val="0"/>
        <w:ind w:firstLine="465"/>
        <w:rPr>
          <w:rFonts w:ascii="宋体" w:hAnsi="宋体"/>
          <w:color w:val="000000" w:themeColor="text1"/>
        </w:rPr>
      </w:pPr>
      <w:r>
        <w:rPr>
          <w:rFonts w:hint="eastAsia" w:ascii="宋体" w:hAnsi="宋体"/>
          <w:color w:val="000000" w:themeColor="text1"/>
        </w:rPr>
        <w:t>（3）相关计价规定：</w:t>
      </w:r>
    </w:p>
    <w:p>
      <w:pPr>
        <w:snapToGrid w:val="0"/>
        <w:spacing w:line="240" w:lineRule="auto"/>
        <w:ind w:firstLine="480" w:firstLineChars="200"/>
        <w:rPr>
          <w:rFonts w:ascii="宋体" w:hAnsi="宋体"/>
          <w:color w:val="000000" w:themeColor="text1"/>
        </w:rPr>
      </w:pPr>
      <w:r>
        <w:rPr>
          <w:rFonts w:hint="eastAsia" w:ascii="宋体" w:hAnsi="宋体"/>
          <w:color w:val="000000" w:themeColor="text1"/>
        </w:rPr>
        <w:t>①工程类别为三类。</w:t>
      </w:r>
    </w:p>
    <w:p>
      <w:pPr>
        <w:snapToGrid w:val="0"/>
        <w:spacing w:line="240" w:lineRule="auto"/>
        <w:ind w:firstLine="480" w:firstLineChars="200"/>
        <w:rPr>
          <w:rFonts w:ascii="宋体" w:hAnsi="宋体"/>
          <w:color w:val="000000" w:themeColor="text1"/>
        </w:rPr>
      </w:pPr>
      <w:r>
        <w:rPr>
          <w:rFonts w:hint="eastAsia" w:ascii="宋体" w:hAnsi="宋体"/>
          <w:color w:val="000000" w:themeColor="text1"/>
        </w:rPr>
        <w:t>②材料价格计价标准施工当月《南京工程造价管理》发布的市场造价信息。</w:t>
      </w:r>
    </w:p>
    <w:p>
      <w:pPr>
        <w:snapToGrid w:val="0"/>
        <w:spacing w:line="240" w:lineRule="auto"/>
        <w:ind w:firstLine="600" w:firstLineChars="250"/>
        <w:rPr>
          <w:rFonts w:ascii="宋体" w:hAnsi="宋体"/>
          <w:color w:val="000000" w:themeColor="text1"/>
        </w:rPr>
      </w:pPr>
      <w:r>
        <w:rPr>
          <w:rFonts w:hint="eastAsia" w:ascii="宋体" w:hAnsi="宋体"/>
          <w:color w:val="000000" w:themeColor="text1"/>
        </w:rPr>
        <w:t>③不参与降点的费用内容：乙供材料，不可竞争费（安全生产、文明施工费/安全文明施工费等），规费，增值税等；</w:t>
      </w:r>
    </w:p>
    <w:p>
      <w:pPr>
        <w:snapToGrid w:val="0"/>
        <w:spacing w:line="240" w:lineRule="auto"/>
        <w:ind w:firstLine="480" w:firstLineChars="200"/>
        <w:rPr>
          <w:rFonts w:ascii="宋体" w:hAnsi="宋体"/>
          <w:color w:val="000000" w:themeColor="text1"/>
        </w:rPr>
      </w:pPr>
      <w:r>
        <w:rPr>
          <w:rFonts w:hint="eastAsia" w:ascii="宋体" w:hAnsi="宋体"/>
          <w:color w:val="000000" w:themeColor="text1"/>
        </w:rPr>
        <w:t>④明确执行节点：为本工程单项工程施工合同签订当月造价管理部门发布的预算定额及配套费用定额等造价管理文件。</w:t>
      </w:r>
    </w:p>
    <w:p>
      <w:pPr>
        <w:snapToGrid w:val="0"/>
        <w:ind w:firstLine="480" w:firstLineChars="200"/>
        <w:rPr>
          <w:rFonts w:ascii="宋体" w:hAnsi="宋体"/>
          <w:color w:val="000000" w:themeColor="text1"/>
        </w:rPr>
      </w:pPr>
      <w:r>
        <w:rPr>
          <w:rFonts w:hint="eastAsia" w:ascii="宋体" w:hAnsi="宋体"/>
          <w:color w:val="000000" w:themeColor="text1"/>
        </w:rPr>
        <w:t>（4）工程费用计算程序及费率表（见本章附件）。</w:t>
      </w:r>
    </w:p>
    <w:p>
      <w:pPr>
        <w:snapToGrid w:val="0"/>
        <w:ind w:firstLine="480" w:firstLineChars="200"/>
        <w:rPr>
          <w:rFonts w:ascii="宋体" w:hAnsi="宋体"/>
          <w:color w:val="000000" w:themeColor="text1"/>
        </w:rPr>
      </w:pPr>
      <w:r>
        <w:rPr>
          <w:rFonts w:hint="eastAsia" w:ascii="宋体" w:hAnsi="宋体"/>
          <w:color w:val="000000" w:themeColor="text1"/>
        </w:rPr>
        <w:t>1.2采购文件和修改及澄清文件、工程设计文件及相关资料、工程现场情况、工程特点及响应时拟定的施工组织设计或施工方案、与建设项目相关的标准、规定等技术资料、工程实施时，市场价格信息、工程造价管理机构发布的工程造价信息等。</w:t>
      </w:r>
      <w:bookmarkStart w:id="113" w:name="_Toc427570183"/>
      <w:bookmarkStart w:id="114" w:name="_Toc439159965"/>
    </w:p>
    <w:p>
      <w:pPr>
        <w:pStyle w:val="3"/>
        <w:rPr>
          <w:b w:val="0"/>
          <w:color w:val="000000" w:themeColor="text1"/>
        </w:rPr>
      </w:pPr>
      <w:bookmarkStart w:id="115" w:name="_Toc6295146"/>
      <w:r>
        <w:rPr>
          <w:rFonts w:hint="eastAsia"/>
          <w:color w:val="000000" w:themeColor="text1"/>
        </w:rPr>
        <w:t>2．依据降点率计算的各单项工程合同价款包含的主要内容</w:t>
      </w:r>
      <w:bookmarkEnd w:id="113"/>
      <w:bookmarkEnd w:id="114"/>
      <w:bookmarkEnd w:id="115"/>
    </w:p>
    <w:p>
      <w:pPr>
        <w:snapToGrid w:val="0"/>
        <w:ind w:firstLine="465"/>
        <w:rPr>
          <w:rFonts w:ascii="宋体" w:hAnsi="宋体"/>
          <w:color w:val="000000" w:themeColor="text1"/>
        </w:rPr>
      </w:pPr>
      <w:r>
        <w:rPr>
          <w:rFonts w:hint="eastAsia" w:ascii="宋体" w:hAnsi="宋体"/>
          <w:color w:val="000000" w:themeColor="text1"/>
        </w:rPr>
        <w:t>依据降点率计算的合同价款为承包商为实施、完成本工程并修补缺陷，以及履行采购文件中约定的风险范围内的所有责任和义务所发生的全部费用。包括但不限于：</w:t>
      </w:r>
    </w:p>
    <w:p>
      <w:pPr>
        <w:snapToGrid w:val="0"/>
        <w:ind w:firstLine="480" w:firstLineChars="200"/>
        <w:rPr>
          <w:rFonts w:ascii="宋体" w:hAnsi="宋体"/>
          <w:color w:val="000000" w:themeColor="text1"/>
        </w:rPr>
      </w:pPr>
      <w:bookmarkStart w:id="116" w:name="_Toc427570185"/>
      <w:bookmarkStart w:id="117" w:name="_Toc439159967"/>
      <w:r>
        <w:rPr>
          <w:rFonts w:hint="eastAsia" w:ascii="宋体" w:hAnsi="宋体"/>
          <w:color w:val="000000" w:themeColor="text1"/>
        </w:rPr>
        <w:t>（1）施工费用（包括技术措施费用）。</w:t>
      </w:r>
    </w:p>
    <w:p>
      <w:pPr>
        <w:snapToGrid w:val="0"/>
        <w:ind w:firstLine="480"/>
        <w:rPr>
          <w:rFonts w:ascii="宋体" w:hAnsi="宋体"/>
          <w:color w:val="000000" w:themeColor="text1"/>
        </w:rPr>
      </w:pPr>
      <w:r>
        <w:rPr>
          <w:rFonts w:hint="eastAsia" w:ascii="宋体" w:hAnsi="宋体"/>
          <w:color w:val="000000" w:themeColor="text1"/>
        </w:rPr>
        <w:t>（2）承包商采购工程设备材料费用。</w:t>
      </w:r>
    </w:p>
    <w:p>
      <w:pPr>
        <w:snapToGrid w:val="0"/>
        <w:ind w:firstLine="480" w:firstLineChars="200"/>
        <w:rPr>
          <w:rFonts w:ascii="宋体" w:hAnsi="宋体"/>
          <w:color w:val="000000" w:themeColor="text1"/>
        </w:rPr>
      </w:pPr>
      <w:r>
        <w:rPr>
          <w:rFonts w:hint="eastAsia" w:ascii="宋体" w:hAnsi="宋体"/>
          <w:color w:val="000000" w:themeColor="text1"/>
        </w:rPr>
        <w:t>（3）甲供设备材料的卸车、搬运、仓储、保管等费用。</w:t>
      </w:r>
    </w:p>
    <w:p>
      <w:pPr>
        <w:snapToGrid w:val="0"/>
        <w:ind w:firstLine="480"/>
        <w:rPr>
          <w:rFonts w:ascii="宋体" w:hAnsi="宋体"/>
          <w:color w:val="000000" w:themeColor="text1"/>
        </w:rPr>
      </w:pPr>
      <w:r>
        <w:rPr>
          <w:rFonts w:hint="eastAsia" w:ascii="宋体" w:hAnsi="宋体"/>
          <w:color w:val="000000" w:themeColor="text1"/>
        </w:rPr>
        <w:t>（4）</w:t>
      </w:r>
      <w:r>
        <w:rPr>
          <w:rFonts w:ascii="宋体" w:hAnsi="宋体"/>
          <w:color w:val="000000" w:themeColor="text1"/>
        </w:rPr>
        <w:t>自</w:t>
      </w:r>
      <w:r>
        <w:rPr>
          <w:rFonts w:hint="eastAsia" w:ascii="宋体" w:hAnsi="宋体"/>
          <w:color w:val="000000" w:themeColor="text1"/>
        </w:rPr>
        <w:t>采购人</w:t>
      </w:r>
      <w:r>
        <w:rPr>
          <w:rFonts w:ascii="宋体" w:hAnsi="宋体"/>
          <w:color w:val="000000" w:themeColor="text1"/>
        </w:rPr>
        <w:t>提供的现场</w:t>
      </w:r>
      <w:r>
        <w:rPr>
          <w:rFonts w:hint="eastAsia" w:ascii="宋体" w:hAnsi="宋体"/>
          <w:color w:val="000000" w:themeColor="text1"/>
        </w:rPr>
        <w:t>水、</w:t>
      </w:r>
      <w:r>
        <w:rPr>
          <w:rFonts w:ascii="宋体" w:hAnsi="宋体"/>
          <w:color w:val="000000" w:themeColor="text1"/>
        </w:rPr>
        <w:t>电源处接驳至</w:t>
      </w:r>
      <w:r>
        <w:rPr>
          <w:rFonts w:hint="eastAsia" w:ascii="宋体" w:hAnsi="宋体"/>
          <w:color w:val="000000" w:themeColor="text1"/>
        </w:rPr>
        <w:t>施工</w:t>
      </w:r>
      <w:r>
        <w:rPr>
          <w:rFonts w:ascii="宋体" w:hAnsi="宋体"/>
          <w:color w:val="000000" w:themeColor="text1"/>
        </w:rPr>
        <w:t>地点的</w:t>
      </w:r>
      <w:r>
        <w:rPr>
          <w:rFonts w:hint="eastAsia" w:ascii="宋体" w:hAnsi="宋体"/>
          <w:color w:val="000000" w:themeColor="text1"/>
        </w:rPr>
        <w:t>设施</w:t>
      </w:r>
      <w:r>
        <w:rPr>
          <w:rFonts w:ascii="宋体" w:hAnsi="宋体"/>
          <w:color w:val="000000" w:themeColor="text1"/>
        </w:rPr>
        <w:t>费用</w:t>
      </w:r>
      <w:r>
        <w:rPr>
          <w:rFonts w:hint="eastAsia" w:ascii="宋体" w:hAnsi="宋体"/>
          <w:color w:val="000000" w:themeColor="text1"/>
        </w:rPr>
        <w:t>。</w:t>
      </w:r>
    </w:p>
    <w:p>
      <w:pPr>
        <w:snapToGrid w:val="0"/>
        <w:ind w:firstLine="480"/>
        <w:rPr>
          <w:rFonts w:ascii="宋体" w:hAnsi="宋体"/>
          <w:color w:val="000000" w:themeColor="text1"/>
        </w:rPr>
      </w:pPr>
      <w:r>
        <w:rPr>
          <w:rFonts w:hint="eastAsia" w:ascii="宋体" w:hAnsi="宋体"/>
          <w:color w:val="000000" w:themeColor="text1"/>
        </w:rPr>
        <w:t>（5）施工水电费用。</w:t>
      </w:r>
    </w:p>
    <w:p>
      <w:pPr>
        <w:snapToGrid w:val="0"/>
        <w:ind w:firstLine="480"/>
        <w:rPr>
          <w:rFonts w:ascii="宋体" w:hAnsi="宋体"/>
          <w:color w:val="000000" w:themeColor="text1"/>
        </w:rPr>
      </w:pPr>
      <w:r>
        <w:rPr>
          <w:rFonts w:hint="eastAsia" w:ascii="宋体" w:hAnsi="宋体"/>
          <w:color w:val="000000" w:themeColor="text1"/>
        </w:rPr>
        <w:t>（6）安全生产、文明施工费（安全文明施工费）:中国石化、建设主管部门的规定计取(其中安全生产费必须满足财政部《企业安全生产费用提取和使用管理办法》（财企[2012]16号的相关规定），并不得作为竞争性费用，</w:t>
      </w:r>
      <w:r>
        <w:rPr>
          <w:rFonts w:hint="eastAsia" w:ascii="Calibri" w:hAnsi="Calibri"/>
          <w:color w:val="000000" w:themeColor="text1"/>
          <w:szCs w:val="22"/>
        </w:rPr>
        <w:t>且专款专用；</w:t>
      </w:r>
      <w:r>
        <w:rPr>
          <w:rFonts w:hint="eastAsia" w:ascii="宋体" w:hAnsi="宋体"/>
          <w:color w:val="000000" w:themeColor="text1"/>
        </w:rPr>
        <w:t>对于特殊作业及危险性较大的施工现场，还应增列作业区域安全视频监控设施费用、安全防护措施费用，按照中国石化的规定计取，</w:t>
      </w:r>
      <w:r>
        <w:rPr>
          <w:rFonts w:hint="eastAsia" w:ascii="Calibri" w:hAnsi="Calibri"/>
          <w:color w:val="000000" w:themeColor="text1"/>
          <w:szCs w:val="22"/>
        </w:rPr>
        <w:t>且专款专用。</w:t>
      </w:r>
    </w:p>
    <w:p>
      <w:pPr>
        <w:snapToGrid w:val="0"/>
        <w:ind w:firstLine="480"/>
        <w:rPr>
          <w:rFonts w:ascii="宋体" w:hAnsi="宋体"/>
          <w:color w:val="000000" w:themeColor="text1"/>
        </w:rPr>
      </w:pPr>
      <w:r>
        <w:rPr>
          <w:rFonts w:hint="eastAsia" w:ascii="宋体" w:hAnsi="宋体"/>
          <w:color w:val="000000" w:themeColor="text1"/>
        </w:rPr>
        <w:t>（7）脚手架费用：按照国家或省级建设主管部门、中国石化规定单独计价，并专款专用。</w:t>
      </w:r>
    </w:p>
    <w:p>
      <w:pPr>
        <w:snapToGrid w:val="0"/>
        <w:ind w:firstLine="480"/>
        <w:rPr>
          <w:rFonts w:ascii="宋体" w:hAnsi="宋体"/>
          <w:color w:val="000000" w:themeColor="text1"/>
        </w:rPr>
      </w:pPr>
      <w:r>
        <w:rPr>
          <w:rFonts w:hint="eastAsia" w:ascii="宋体" w:hAnsi="宋体"/>
          <w:color w:val="000000" w:themeColor="text1"/>
        </w:rPr>
        <w:t>（8）各项检测、试验、测试及验收、取证等费用。</w:t>
      </w:r>
    </w:p>
    <w:p>
      <w:pPr>
        <w:snapToGrid w:val="0"/>
        <w:ind w:firstLine="480"/>
        <w:rPr>
          <w:rFonts w:ascii="宋体" w:hAnsi="宋体"/>
          <w:color w:val="000000" w:themeColor="text1"/>
        </w:rPr>
      </w:pPr>
      <w:r>
        <w:rPr>
          <w:rFonts w:hint="eastAsia" w:ascii="宋体" w:hAnsi="宋体"/>
          <w:color w:val="000000" w:themeColor="text1"/>
        </w:rPr>
        <w:t>（9）</w:t>
      </w:r>
      <w:r>
        <w:rPr>
          <w:rFonts w:ascii="宋体" w:hAnsi="宋体"/>
          <w:color w:val="000000" w:themeColor="text1"/>
        </w:rPr>
        <w:t>与</w:t>
      </w:r>
      <w:r>
        <w:rPr>
          <w:rFonts w:hint="eastAsia" w:ascii="宋体" w:hAnsi="宋体"/>
          <w:color w:val="000000" w:themeColor="text1"/>
        </w:rPr>
        <w:t>相关专业施工</w:t>
      </w:r>
      <w:r>
        <w:rPr>
          <w:rFonts w:ascii="宋体" w:hAnsi="宋体"/>
          <w:color w:val="000000" w:themeColor="text1"/>
        </w:rPr>
        <w:t>接合处的</w:t>
      </w:r>
      <w:r>
        <w:rPr>
          <w:rFonts w:hint="eastAsia" w:ascii="宋体" w:hAnsi="宋体"/>
          <w:color w:val="000000" w:themeColor="text1"/>
        </w:rPr>
        <w:t>配合等</w:t>
      </w:r>
      <w:r>
        <w:rPr>
          <w:rFonts w:ascii="宋体" w:hAnsi="宋体"/>
          <w:color w:val="000000" w:themeColor="text1"/>
        </w:rPr>
        <w:t>费用</w:t>
      </w:r>
      <w:r>
        <w:rPr>
          <w:rFonts w:hint="eastAsia" w:ascii="宋体" w:hAnsi="宋体"/>
          <w:color w:val="000000" w:themeColor="text1"/>
        </w:rPr>
        <w:t>；</w:t>
      </w:r>
    </w:p>
    <w:p>
      <w:pPr>
        <w:ind w:firstLine="480" w:firstLineChars="200"/>
        <w:rPr>
          <w:rFonts w:ascii="宋体" w:hAnsi="宋体"/>
          <w:color w:val="000000" w:themeColor="text1"/>
        </w:rPr>
      </w:pPr>
      <w:r>
        <w:rPr>
          <w:rFonts w:hint="eastAsia" w:ascii="宋体" w:hAnsi="宋体"/>
          <w:color w:val="000000" w:themeColor="text1"/>
        </w:rPr>
        <w:t>（10）单机试车及系统吹扫试压、调试等费用；</w:t>
      </w:r>
    </w:p>
    <w:p>
      <w:pPr>
        <w:snapToGrid w:val="0"/>
        <w:ind w:firstLine="480"/>
        <w:rPr>
          <w:rFonts w:ascii="宋体" w:hAnsi="宋体"/>
          <w:color w:val="000000" w:themeColor="text1"/>
        </w:rPr>
      </w:pPr>
      <w:r>
        <w:rPr>
          <w:rFonts w:hint="eastAsia" w:ascii="宋体" w:hAnsi="宋体"/>
          <w:color w:val="000000" w:themeColor="text1"/>
        </w:rPr>
        <w:t>（11）交工资料收集、整理并符合归档规定的费用。</w:t>
      </w:r>
    </w:p>
    <w:p>
      <w:pPr>
        <w:snapToGrid w:val="0"/>
        <w:ind w:firstLine="480"/>
        <w:rPr>
          <w:rFonts w:ascii="宋体" w:hAnsi="宋体"/>
          <w:color w:val="000000" w:themeColor="text1"/>
        </w:rPr>
      </w:pPr>
      <w:r>
        <w:rPr>
          <w:rFonts w:hint="eastAsia" w:ascii="宋体" w:hAnsi="宋体"/>
          <w:color w:val="000000" w:themeColor="text1"/>
        </w:rPr>
        <w:t>（12）</w:t>
      </w:r>
      <w:r>
        <w:rPr>
          <w:rFonts w:ascii="宋体" w:hAnsi="宋体"/>
          <w:color w:val="000000" w:themeColor="text1"/>
        </w:rPr>
        <w:t>缺陷修复和保修费用</w:t>
      </w:r>
      <w:r>
        <w:rPr>
          <w:rFonts w:hint="eastAsia" w:ascii="宋体" w:hAnsi="宋体"/>
          <w:color w:val="000000" w:themeColor="text1"/>
        </w:rPr>
        <w:t>。</w:t>
      </w:r>
    </w:p>
    <w:p>
      <w:pPr>
        <w:snapToGrid w:val="0"/>
        <w:ind w:firstLine="480"/>
        <w:rPr>
          <w:rFonts w:ascii="宋体" w:hAnsi="宋体"/>
          <w:color w:val="000000" w:themeColor="text1"/>
        </w:rPr>
      </w:pPr>
      <w:r>
        <w:rPr>
          <w:rFonts w:hint="eastAsia" w:ascii="宋体" w:hAnsi="宋体"/>
          <w:color w:val="000000" w:themeColor="text1"/>
        </w:rPr>
        <w:t>（13）完工清理</w:t>
      </w:r>
      <w:r>
        <w:rPr>
          <w:rFonts w:ascii="宋体" w:hAnsi="宋体"/>
          <w:color w:val="000000" w:themeColor="text1"/>
        </w:rPr>
        <w:t>费</w:t>
      </w:r>
      <w:r>
        <w:rPr>
          <w:rFonts w:hint="eastAsia" w:ascii="宋体" w:hAnsi="宋体"/>
          <w:color w:val="000000" w:themeColor="text1"/>
        </w:rPr>
        <w:t>、建筑垃圾弃置及涉及的相关费用。</w:t>
      </w:r>
    </w:p>
    <w:p>
      <w:pPr>
        <w:snapToGrid w:val="0"/>
        <w:ind w:firstLine="480"/>
        <w:rPr>
          <w:rFonts w:ascii="宋体" w:hAnsi="宋体"/>
          <w:color w:val="000000" w:themeColor="text1"/>
        </w:rPr>
      </w:pPr>
      <w:r>
        <w:rPr>
          <w:rFonts w:hint="eastAsia" w:ascii="宋体" w:hAnsi="宋体"/>
          <w:color w:val="000000" w:themeColor="text1"/>
        </w:rPr>
        <w:t>（14）对采购人相关人员的培训费用。</w:t>
      </w:r>
    </w:p>
    <w:p>
      <w:pPr>
        <w:ind w:firstLine="480" w:firstLineChars="200"/>
        <w:rPr>
          <w:rFonts w:ascii="宋体" w:hAnsi="宋体"/>
          <w:color w:val="000000" w:themeColor="text1"/>
        </w:rPr>
      </w:pPr>
      <w:r>
        <w:rPr>
          <w:rFonts w:hint="eastAsia" w:ascii="宋体" w:hAnsi="宋体"/>
          <w:color w:val="000000" w:themeColor="text1"/>
        </w:rPr>
        <w:t>（15）协助采购人试运投产及技术服务等工作涉及的费用。</w:t>
      </w:r>
    </w:p>
    <w:p>
      <w:pPr>
        <w:snapToGrid w:val="0"/>
        <w:ind w:firstLine="480"/>
        <w:rPr>
          <w:rFonts w:ascii="宋体" w:hAnsi="宋体"/>
          <w:color w:val="000000" w:themeColor="text1"/>
        </w:rPr>
      </w:pPr>
      <w:r>
        <w:rPr>
          <w:rFonts w:hint="eastAsia" w:ascii="宋体" w:hAnsi="宋体"/>
          <w:color w:val="000000" w:themeColor="text1"/>
        </w:rPr>
        <w:t>（16）采购文件规定的风险费用。</w:t>
      </w:r>
    </w:p>
    <w:p>
      <w:pPr>
        <w:snapToGrid w:val="0"/>
        <w:ind w:firstLine="480"/>
        <w:rPr>
          <w:rFonts w:ascii="宋体" w:hAnsi="宋体"/>
          <w:color w:val="000000" w:themeColor="text1"/>
        </w:rPr>
      </w:pPr>
      <w:r>
        <w:rPr>
          <w:rFonts w:hint="eastAsia" w:ascii="宋体" w:hAnsi="宋体"/>
          <w:color w:val="000000" w:themeColor="text1"/>
        </w:rPr>
        <w:t>（17</w:t>
      </w:r>
      <w:r>
        <w:rPr>
          <w:rFonts w:ascii="宋体" w:hAnsi="宋体"/>
          <w:color w:val="000000" w:themeColor="text1"/>
        </w:rPr>
        <w:t>）</w:t>
      </w:r>
      <w:r>
        <w:rPr>
          <w:rFonts w:hint="eastAsia" w:ascii="宋体" w:hAnsi="宋体"/>
          <w:color w:val="000000" w:themeColor="text1"/>
        </w:rPr>
        <w:t>施工作业人员、现场管理及服务人员的人身意外伤害险投保费用。</w:t>
      </w:r>
    </w:p>
    <w:p>
      <w:pPr>
        <w:snapToGrid w:val="0"/>
        <w:ind w:firstLine="480"/>
        <w:rPr>
          <w:rFonts w:ascii="宋体" w:hAnsi="宋体"/>
          <w:color w:val="000000" w:themeColor="text1"/>
        </w:rPr>
      </w:pPr>
      <w:r>
        <w:rPr>
          <w:rFonts w:hint="eastAsia" w:ascii="宋体" w:hAnsi="宋体"/>
          <w:color w:val="000000" w:themeColor="text1"/>
        </w:rPr>
        <w:t>（18）施工总承包管理费用；</w:t>
      </w:r>
    </w:p>
    <w:p>
      <w:pPr>
        <w:ind w:firstLine="480" w:firstLineChars="200"/>
        <w:rPr>
          <w:rFonts w:ascii="宋体" w:hAnsi="宋体"/>
          <w:color w:val="000000" w:themeColor="text1"/>
        </w:rPr>
      </w:pPr>
      <w:r>
        <w:rPr>
          <w:rFonts w:hint="eastAsia" w:ascii="宋体" w:hAnsi="宋体"/>
          <w:color w:val="000000" w:themeColor="text1"/>
        </w:rPr>
        <w:t>（19）企业管理费、利润及按照国家规定计取的规费、税金（包括增值税，建筑服务税率9%</w:t>
      </w:r>
      <w:r>
        <w:rPr>
          <w:rFonts w:ascii="宋体" w:hAnsi="宋体"/>
          <w:color w:val="000000" w:themeColor="text1"/>
        </w:rPr>
        <w:t>）</w:t>
      </w:r>
    </w:p>
    <w:p>
      <w:pPr>
        <w:adjustRightInd w:val="0"/>
        <w:ind w:right="51" w:firstLine="480"/>
        <w:rPr>
          <w:rFonts w:ascii="宋体" w:hAnsi="宋体"/>
          <w:color w:val="000000" w:themeColor="text1"/>
        </w:rPr>
      </w:pPr>
      <w:r>
        <w:rPr>
          <w:rFonts w:hint="eastAsia" w:ascii="宋体" w:hAnsi="宋体"/>
          <w:color w:val="000000" w:themeColor="text1"/>
        </w:rPr>
        <w:t>（20）其他需发生的费用。</w:t>
      </w:r>
    </w:p>
    <w:p>
      <w:pPr>
        <w:pStyle w:val="3"/>
        <w:rPr>
          <w:b w:val="0"/>
          <w:color w:val="000000" w:themeColor="text1"/>
        </w:rPr>
      </w:pPr>
      <w:bookmarkStart w:id="118" w:name="_Toc6295147"/>
      <w:r>
        <w:rPr>
          <w:rFonts w:hint="eastAsia"/>
          <w:color w:val="000000" w:themeColor="text1"/>
        </w:rPr>
        <w:t>3．合同价款及风险费用</w:t>
      </w:r>
      <w:bookmarkEnd w:id="116"/>
      <w:bookmarkEnd w:id="117"/>
      <w:bookmarkEnd w:id="118"/>
    </w:p>
    <w:p>
      <w:pPr>
        <w:snapToGrid w:val="0"/>
        <w:ind w:firstLine="480"/>
        <w:rPr>
          <w:rFonts w:ascii="宋体" w:hAnsi="宋体"/>
          <w:color w:val="000000" w:themeColor="text1"/>
        </w:rPr>
      </w:pPr>
      <w:r>
        <w:rPr>
          <w:rFonts w:hint="eastAsia" w:ascii="宋体" w:hAnsi="宋体"/>
          <w:color w:val="000000" w:themeColor="text1"/>
        </w:rPr>
        <w:t>3.1承包商应按照采购人、中国石化、相关行业等规定的格式、深度编制完整的符合要求的施工图预算文件，经采购人审核并商承包商同意后确定工程造价，在此基础上计算合同价款。</w:t>
      </w:r>
    </w:p>
    <w:p>
      <w:pPr>
        <w:ind w:firstLine="480" w:firstLineChars="200"/>
        <w:rPr>
          <w:rFonts w:ascii="宋体" w:hAnsi="宋体"/>
          <w:color w:val="000000" w:themeColor="text1"/>
        </w:rPr>
      </w:pPr>
      <w:r>
        <w:rPr>
          <w:rFonts w:hint="eastAsia" w:ascii="宋体" w:hAnsi="宋体"/>
          <w:color w:val="000000" w:themeColor="text1"/>
        </w:rPr>
        <w:t>3.2合同价款=（建筑工程造价【不含采购人有特殊要求的承包商供应的材料费及设备费】+安装工程造价【不含承包商供应的主要材料费及设备费】-安全生产、文明施工费/安全文明施工费-规费-税金）×（1-降点率）+采购人有特殊要求的承包商供应的材料费及设备费+承包商供应的主要材料费及设备费+安全生产、文明施工费/安全文明施工费+规费+税金（包括增值税，建筑服务税率</w:t>
      </w:r>
      <w:r>
        <w:rPr>
          <w:rFonts w:hint="eastAsia" w:ascii="宋体" w:hAnsi="宋体"/>
          <w:color w:val="000000" w:themeColor="text1"/>
          <w:u w:val="single"/>
        </w:rPr>
        <w:t xml:space="preserve">  9 </w:t>
      </w:r>
      <w:r>
        <w:rPr>
          <w:rFonts w:hint="eastAsia" w:ascii="宋体" w:hAnsi="宋体"/>
          <w:color w:val="000000" w:themeColor="text1"/>
        </w:rPr>
        <w:t>%......）</w:t>
      </w:r>
    </w:p>
    <w:p>
      <w:pPr>
        <w:snapToGrid w:val="0"/>
        <w:ind w:firstLine="480"/>
        <w:rPr>
          <w:rFonts w:ascii="宋体" w:hAnsi="宋体"/>
          <w:color w:val="000000" w:themeColor="text1"/>
        </w:rPr>
      </w:pPr>
      <w:r>
        <w:rPr>
          <w:rFonts w:hint="eastAsia" w:ascii="宋体" w:hAnsi="宋体"/>
          <w:color w:val="000000" w:themeColor="text1"/>
        </w:rPr>
        <w:t>工程预（结）算、工程变更和现场签证在计算新增工程价款时按照本款的规定执行。</w:t>
      </w:r>
    </w:p>
    <w:p>
      <w:pPr>
        <w:ind w:firstLine="480"/>
        <w:rPr>
          <w:rFonts w:ascii="宋体" w:hAnsi="宋体"/>
          <w:color w:val="000000" w:themeColor="text1"/>
        </w:rPr>
      </w:pPr>
      <w:r>
        <w:rPr>
          <w:rFonts w:hint="eastAsia" w:ascii="宋体" w:hAnsi="宋体"/>
          <w:color w:val="000000" w:themeColor="text1"/>
        </w:rPr>
        <w:t>3.3成交的降点率为固定降点率，不因任何因素而调整。</w:t>
      </w:r>
    </w:p>
    <w:p>
      <w:pPr>
        <w:ind w:firstLine="480"/>
        <w:rPr>
          <w:rFonts w:ascii="宋体" w:hAnsi="宋体"/>
          <w:color w:val="000000" w:themeColor="text1"/>
        </w:rPr>
      </w:pPr>
      <w:r>
        <w:rPr>
          <w:rFonts w:hint="eastAsia" w:ascii="宋体" w:hAnsi="宋体"/>
          <w:color w:val="000000" w:themeColor="text1"/>
        </w:rPr>
        <w:t>3.4合同价款所含的风险费用见第五章“合同条款”中相关合同条款的约定。</w:t>
      </w:r>
    </w:p>
    <w:p>
      <w:pPr>
        <w:keepNext/>
        <w:keepLines/>
        <w:outlineLvl w:val="1"/>
        <w:rPr>
          <w:rFonts w:ascii="Arial" w:hAnsi="Arial"/>
          <w:b/>
          <w:bCs/>
          <w:color w:val="000000" w:themeColor="text1"/>
          <w:kern w:val="0"/>
          <w:szCs w:val="32"/>
        </w:rPr>
      </w:pPr>
      <w:bookmarkStart w:id="119" w:name="_Toc6295148"/>
      <w:bookmarkStart w:id="120" w:name="_Toc526793338"/>
      <w:bookmarkStart w:id="121" w:name="_Toc439159968"/>
      <w:r>
        <w:rPr>
          <w:rFonts w:hint="eastAsia" w:ascii="Arial" w:hAnsi="Arial"/>
          <w:b/>
          <w:bCs/>
          <w:color w:val="000000" w:themeColor="text1"/>
          <w:kern w:val="0"/>
          <w:szCs w:val="32"/>
        </w:rPr>
        <w:t>4．采购人采购的工程设备材料及承包商应计取的费用</w:t>
      </w:r>
      <w:bookmarkEnd w:id="119"/>
      <w:bookmarkEnd w:id="120"/>
    </w:p>
    <w:p>
      <w:pPr>
        <w:snapToGrid w:val="0"/>
        <w:ind w:firstLine="465"/>
        <w:rPr>
          <w:rFonts w:ascii="宋体" w:hAnsi="宋体"/>
          <w:color w:val="000000" w:themeColor="text1"/>
        </w:rPr>
      </w:pPr>
      <w:r>
        <w:rPr>
          <w:rFonts w:hint="eastAsia" w:ascii="宋体" w:hAnsi="宋体"/>
          <w:color w:val="000000" w:themeColor="text1"/>
        </w:rPr>
        <w:t>4.1采购人采购的工程设备材料清单见第六章“采购需求”附件。</w:t>
      </w:r>
    </w:p>
    <w:p>
      <w:pPr>
        <w:snapToGrid w:val="0"/>
        <w:ind w:firstLine="465"/>
        <w:rPr>
          <w:rFonts w:ascii="宋体" w:hAnsi="宋体"/>
          <w:color w:val="000000" w:themeColor="text1"/>
        </w:rPr>
      </w:pPr>
      <w:r>
        <w:rPr>
          <w:rFonts w:hint="eastAsia" w:ascii="宋体" w:hAnsi="宋体"/>
          <w:color w:val="000000" w:themeColor="text1"/>
        </w:rPr>
        <w:t>4.2承包商负责采购人采购工程设备材料的以下工作并计取相关费用：</w:t>
      </w:r>
    </w:p>
    <w:p>
      <w:pPr>
        <w:snapToGrid w:val="0"/>
        <w:ind w:firstLine="465"/>
        <w:rPr>
          <w:rFonts w:ascii="宋体" w:hAnsi="宋体"/>
          <w:color w:val="000000" w:themeColor="text1"/>
        </w:rPr>
      </w:pPr>
      <w:r>
        <w:rPr>
          <w:rFonts w:hint="eastAsia" w:ascii="宋体" w:hAnsi="宋体"/>
          <w:color w:val="000000" w:themeColor="text1"/>
        </w:rPr>
        <w:t>（1）在采购人仓库提取：自采购人仓库运输（不含装车）至施工现场，以及卸车、仓储、保管等费用；</w:t>
      </w:r>
    </w:p>
    <w:p>
      <w:pPr>
        <w:snapToGrid w:val="0"/>
        <w:ind w:firstLine="465"/>
        <w:rPr>
          <w:rFonts w:ascii="宋体" w:hAnsi="宋体"/>
          <w:color w:val="000000" w:themeColor="text1"/>
        </w:rPr>
      </w:pPr>
      <w:r>
        <w:rPr>
          <w:rFonts w:hint="eastAsia" w:ascii="宋体" w:hAnsi="宋体"/>
          <w:color w:val="000000" w:themeColor="text1"/>
        </w:rPr>
        <w:t>（2）在施工现场交货：卸车、搬运、仓储、保管等费用；</w:t>
      </w:r>
    </w:p>
    <w:p>
      <w:pPr>
        <w:snapToGrid w:val="0"/>
        <w:ind w:firstLine="480" w:firstLineChars="200"/>
        <w:rPr>
          <w:rFonts w:ascii="宋体" w:hAnsi="宋体"/>
          <w:color w:val="000000" w:themeColor="text1"/>
        </w:rPr>
      </w:pPr>
      <w:r>
        <w:rPr>
          <w:rFonts w:hint="eastAsia" w:ascii="宋体" w:hAnsi="宋体"/>
          <w:color w:val="000000" w:themeColor="text1"/>
        </w:rPr>
        <w:t>（3）超限设备场内运输特殊措施费用；</w:t>
      </w:r>
    </w:p>
    <w:p>
      <w:pPr>
        <w:snapToGrid w:val="0"/>
        <w:ind w:firstLine="465"/>
        <w:rPr>
          <w:rFonts w:ascii="宋体" w:hAnsi="宋体"/>
          <w:color w:val="000000" w:themeColor="text1"/>
        </w:rPr>
      </w:pPr>
      <w:r>
        <w:rPr>
          <w:rFonts w:hint="eastAsia" w:ascii="宋体" w:hAnsi="宋体"/>
          <w:color w:val="000000" w:themeColor="text1"/>
        </w:rPr>
        <w:t>4.3采购人供应的设备材料费不参与的计取；</w:t>
      </w:r>
    </w:p>
    <w:p>
      <w:pPr>
        <w:snapToGrid w:val="0"/>
        <w:ind w:firstLine="465"/>
        <w:rPr>
          <w:rFonts w:ascii="宋体" w:hAnsi="宋体"/>
          <w:color w:val="000000" w:themeColor="text1"/>
        </w:rPr>
      </w:pPr>
      <w:r>
        <w:rPr>
          <w:rFonts w:hint="eastAsia" w:ascii="宋体" w:hAnsi="宋体"/>
          <w:color w:val="000000" w:themeColor="text1"/>
        </w:rPr>
        <w:t>4.4其他需发生的费用。</w:t>
      </w:r>
    </w:p>
    <w:p>
      <w:pPr>
        <w:pStyle w:val="3"/>
        <w:rPr>
          <w:b w:val="0"/>
          <w:color w:val="000000" w:themeColor="text1"/>
        </w:rPr>
      </w:pPr>
      <w:bookmarkStart w:id="122" w:name="_Toc6295149"/>
      <w:r>
        <w:rPr>
          <w:rFonts w:hint="eastAsia"/>
          <w:color w:val="000000" w:themeColor="text1"/>
        </w:rPr>
        <w:t>5．</w:t>
      </w:r>
      <w:bookmarkEnd w:id="121"/>
      <w:r>
        <w:rPr>
          <w:rFonts w:hint="eastAsia"/>
          <w:color w:val="000000" w:themeColor="text1"/>
        </w:rPr>
        <w:t>不在本次采购及报价范围内的费用</w:t>
      </w:r>
      <w:bookmarkEnd w:id="122"/>
    </w:p>
    <w:p>
      <w:pPr>
        <w:adjustRightInd w:val="0"/>
        <w:ind w:right="51" w:firstLine="480" w:firstLineChars="200"/>
        <w:rPr>
          <w:rFonts w:ascii="宋体" w:hAnsi="宋体"/>
          <w:color w:val="000000" w:themeColor="text1"/>
        </w:rPr>
      </w:pPr>
      <w:r>
        <w:rPr>
          <w:rFonts w:hint="eastAsia" w:ascii="宋体" w:hAnsi="宋体"/>
          <w:color w:val="000000" w:themeColor="text1"/>
        </w:rPr>
        <w:t xml:space="preserve">（1）采购人采购的工程设备材料费用； </w:t>
      </w:r>
    </w:p>
    <w:p>
      <w:pPr>
        <w:adjustRightInd w:val="0"/>
        <w:ind w:right="51" w:firstLine="480" w:firstLineChars="200"/>
        <w:rPr>
          <w:rFonts w:ascii="宋体" w:hAnsi="宋体"/>
          <w:color w:val="000000" w:themeColor="text1"/>
        </w:rPr>
      </w:pPr>
      <w:r>
        <w:rPr>
          <w:rFonts w:hint="eastAsia" w:ascii="宋体" w:hAnsi="宋体"/>
          <w:color w:val="000000" w:themeColor="text1"/>
        </w:rPr>
        <w:t>（2）生产工器具及用具购置费用；</w:t>
      </w:r>
    </w:p>
    <w:p>
      <w:pPr>
        <w:adjustRightInd w:val="0"/>
        <w:ind w:right="51" w:firstLine="480" w:firstLineChars="200"/>
        <w:rPr>
          <w:rFonts w:ascii="宋体" w:hAnsi="宋体"/>
          <w:color w:val="000000" w:themeColor="text1"/>
        </w:rPr>
      </w:pPr>
      <w:r>
        <w:rPr>
          <w:rFonts w:hint="eastAsia" w:ascii="宋体" w:hAnsi="宋体"/>
          <w:color w:val="000000" w:themeColor="text1"/>
        </w:rPr>
        <w:t>（3）单机试车、联动试车、投料试车以及产出产品所需的各类物料费用（包括原料、电力、蒸汽、工业水、循环水）；</w:t>
      </w:r>
    </w:p>
    <w:p>
      <w:pPr>
        <w:adjustRightInd w:val="0"/>
        <w:ind w:right="51" w:firstLine="480" w:firstLineChars="200"/>
        <w:rPr>
          <w:rFonts w:ascii="宋体" w:hAnsi="宋体"/>
          <w:color w:val="000000" w:themeColor="text1"/>
        </w:rPr>
      </w:pPr>
      <w:r>
        <w:rPr>
          <w:rFonts w:hint="eastAsia" w:ascii="宋体" w:hAnsi="宋体"/>
          <w:color w:val="000000" w:themeColor="text1"/>
        </w:rPr>
        <w:t>（4）第三方无损检测费用；</w:t>
      </w:r>
    </w:p>
    <w:p>
      <w:pPr>
        <w:keepNext/>
        <w:keepLines/>
        <w:outlineLvl w:val="1"/>
        <w:rPr>
          <w:rFonts w:ascii="Arial" w:hAnsi="Arial"/>
          <w:color w:val="000000" w:themeColor="text1"/>
          <w:kern w:val="0"/>
          <w:szCs w:val="32"/>
        </w:rPr>
      </w:pPr>
      <w:bookmarkStart w:id="123" w:name="_Toc427570186"/>
      <w:bookmarkStart w:id="124" w:name="_Toc439159969"/>
      <w:bookmarkStart w:id="125" w:name="_Toc6295150"/>
      <w:r>
        <w:rPr>
          <w:rFonts w:hint="eastAsia" w:ascii="Arial" w:hAnsi="Arial"/>
          <w:color w:val="000000" w:themeColor="text1"/>
          <w:kern w:val="0"/>
          <w:szCs w:val="32"/>
        </w:rPr>
        <w:t>6．最高限价说明</w:t>
      </w:r>
      <w:bookmarkEnd w:id="123"/>
      <w:bookmarkEnd w:id="124"/>
      <w:bookmarkEnd w:id="125"/>
    </w:p>
    <w:p>
      <w:pPr>
        <w:adjustRightInd w:val="0"/>
        <w:ind w:right="51" w:firstLine="480" w:firstLineChars="200"/>
        <w:rPr>
          <w:rFonts w:ascii="宋体" w:hAnsi="宋体"/>
          <w:color w:val="000000" w:themeColor="text1"/>
        </w:rPr>
      </w:pPr>
      <w:r>
        <w:rPr>
          <w:rFonts w:hint="eastAsia" w:ascii="宋体" w:hAnsi="宋体"/>
          <w:color w:val="000000" w:themeColor="text1"/>
        </w:rPr>
        <w:t>6.1最高限价制定依据主要包含以下内容：</w:t>
      </w:r>
    </w:p>
    <w:p>
      <w:pPr>
        <w:rPr>
          <w:rFonts w:ascii="宋体" w:hAnsi="宋体"/>
          <w:color w:val="000000" w:themeColor="text1"/>
        </w:rPr>
      </w:pPr>
      <w:r>
        <w:rPr>
          <w:rFonts w:hint="eastAsia" w:ascii="宋体" w:hAnsi="宋体"/>
          <w:color w:val="000000" w:themeColor="text1"/>
        </w:rPr>
        <w:t xml:space="preserve">    </w:t>
      </w:r>
      <w:bookmarkStart w:id="126" w:name="_Toc511126437"/>
      <w:bookmarkStart w:id="127" w:name="_Toc511142814"/>
      <w:bookmarkStart w:id="128" w:name="_Toc514166882"/>
      <w:r>
        <w:rPr>
          <w:rFonts w:hint="eastAsia" w:ascii="宋体" w:hAnsi="宋体"/>
          <w:color w:val="000000" w:themeColor="text1"/>
        </w:rPr>
        <w:t>（1）本工程详细工程设计文件/施工图设计文件及项目批复文件；</w:t>
      </w:r>
      <w:bookmarkEnd w:id="126"/>
      <w:bookmarkEnd w:id="127"/>
      <w:bookmarkEnd w:id="128"/>
    </w:p>
    <w:p>
      <w:pPr>
        <w:adjustRightInd w:val="0"/>
        <w:ind w:right="51" w:firstLine="480"/>
        <w:rPr>
          <w:rFonts w:ascii="宋体" w:hAnsi="宋体"/>
          <w:color w:val="000000" w:themeColor="text1"/>
        </w:rPr>
      </w:pPr>
      <w:r>
        <w:rPr>
          <w:rFonts w:hint="eastAsia" w:ascii="宋体" w:hAnsi="宋体"/>
          <w:color w:val="000000" w:themeColor="text1"/>
        </w:rPr>
        <w:t>（2）本采购项目采购范围及相关要求；</w:t>
      </w:r>
    </w:p>
    <w:p>
      <w:pPr>
        <w:adjustRightInd w:val="0"/>
        <w:ind w:right="51" w:firstLine="480" w:firstLineChars="200"/>
        <w:rPr>
          <w:rFonts w:ascii="宋体" w:hAnsi="宋体"/>
          <w:color w:val="000000" w:themeColor="text1"/>
        </w:rPr>
      </w:pPr>
      <w:r>
        <w:rPr>
          <w:rFonts w:hint="eastAsia" w:ascii="宋体" w:hAnsi="宋体"/>
          <w:color w:val="000000" w:themeColor="text1"/>
        </w:rPr>
        <w:t>（3）报价计价依据；</w:t>
      </w:r>
    </w:p>
    <w:p>
      <w:pPr>
        <w:adjustRightInd w:val="0"/>
        <w:ind w:right="51" w:firstLine="480" w:firstLineChars="200"/>
        <w:rPr>
          <w:rFonts w:ascii="宋体" w:hAnsi="宋体"/>
          <w:color w:val="000000" w:themeColor="text1"/>
        </w:rPr>
      </w:pPr>
      <w:r>
        <w:rPr>
          <w:rFonts w:hint="eastAsia" w:ascii="宋体" w:hAnsi="宋体"/>
          <w:color w:val="000000" w:themeColor="text1"/>
        </w:rPr>
        <w:t>（4）报价风险及费用；</w:t>
      </w:r>
    </w:p>
    <w:p>
      <w:pPr>
        <w:adjustRightInd w:val="0"/>
        <w:ind w:right="51" w:firstLine="480" w:firstLineChars="200"/>
        <w:rPr>
          <w:rFonts w:ascii="宋体" w:hAnsi="宋体"/>
          <w:b/>
          <w:color w:val="000000" w:themeColor="text1"/>
        </w:rPr>
      </w:pPr>
      <w:r>
        <w:rPr>
          <w:rFonts w:hint="eastAsia" w:ascii="宋体" w:hAnsi="宋体"/>
          <w:color w:val="000000" w:themeColor="text1"/>
        </w:rPr>
        <w:t>6.2本采购项目最高限价见第二章“承包商须知”前附表第1.3（2）项。</w:t>
      </w:r>
    </w:p>
    <w:p>
      <w:pPr>
        <w:keepNext/>
        <w:keepLines/>
        <w:outlineLvl w:val="1"/>
        <w:rPr>
          <w:rFonts w:ascii="Arial" w:hAnsi="Arial"/>
          <w:b/>
          <w:bCs/>
          <w:color w:val="000000" w:themeColor="text1"/>
          <w:kern w:val="0"/>
          <w:szCs w:val="32"/>
        </w:rPr>
      </w:pPr>
      <w:bookmarkStart w:id="129" w:name="_Toc526793339"/>
      <w:bookmarkStart w:id="130" w:name="_Toc6295151"/>
      <w:r>
        <w:rPr>
          <w:rFonts w:hint="eastAsia" w:ascii="Arial" w:hAnsi="Arial"/>
          <w:b/>
          <w:bCs/>
          <w:color w:val="000000" w:themeColor="text1"/>
          <w:kern w:val="0"/>
          <w:szCs w:val="32"/>
        </w:rPr>
        <w:t>7．报价要求及说明</w:t>
      </w:r>
      <w:bookmarkEnd w:id="129"/>
      <w:bookmarkEnd w:id="130"/>
    </w:p>
    <w:p>
      <w:pPr>
        <w:snapToGrid w:val="0"/>
        <w:ind w:firstLine="480" w:firstLineChars="200"/>
        <w:rPr>
          <w:rFonts w:ascii="宋体" w:hAnsi="宋体"/>
          <w:color w:val="000000" w:themeColor="text1"/>
        </w:rPr>
      </w:pPr>
      <w:r>
        <w:rPr>
          <w:rFonts w:hint="eastAsia" w:ascii="宋体" w:hAnsi="宋体"/>
          <w:color w:val="000000" w:themeColor="text1"/>
        </w:rPr>
        <w:t>7.1成交的综合降点率为固定降点率，不应任何因素而调整。</w:t>
      </w:r>
    </w:p>
    <w:p>
      <w:pPr>
        <w:ind w:firstLine="480" w:firstLineChars="200"/>
        <w:rPr>
          <w:rFonts w:ascii="宋体" w:hAnsi="宋体"/>
          <w:color w:val="000000" w:themeColor="text1"/>
        </w:rPr>
      </w:pPr>
      <w:r>
        <w:rPr>
          <w:rFonts w:hint="eastAsia" w:ascii="宋体" w:hAnsi="宋体"/>
          <w:color w:val="000000" w:themeColor="text1"/>
        </w:rPr>
        <w:t>7.2承包商应进行现场踏勘，以充分了解工地位置、道路情况、储存空间、装卸限制、自然条件、地质地貌及任何其他足以影响</w:t>
      </w:r>
      <w:r>
        <w:rPr>
          <w:rFonts w:ascii="宋体" w:hAnsi="宋体"/>
          <w:color w:val="000000" w:themeColor="text1"/>
        </w:rPr>
        <w:t>报价</w:t>
      </w:r>
      <w:r>
        <w:rPr>
          <w:rFonts w:hint="eastAsia" w:ascii="宋体" w:hAnsi="宋体"/>
          <w:color w:val="000000" w:themeColor="text1"/>
        </w:rPr>
        <w:t>的情况，任何因忽视或误解工地情况而导致的索赔或工期延长申请将不获批准。</w:t>
      </w:r>
    </w:p>
    <w:p>
      <w:pPr>
        <w:ind w:firstLine="480" w:firstLineChars="200"/>
        <w:rPr>
          <w:rFonts w:ascii="华文楷体" w:hAnsi="华文楷体" w:eastAsia="华文楷体"/>
          <w:color w:val="000000" w:themeColor="text1"/>
          <w:sz w:val="18"/>
          <w:szCs w:val="18"/>
        </w:rPr>
      </w:pPr>
      <w:r>
        <w:rPr>
          <w:rFonts w:hint="eastAsia" w:ascii="宋体" w:hAnsi="宋体"/>
          <w:color w:val="000000" w:themeColor="text1"/>
        </w:rPr>
        <w:t>7.3关于乙供物资及装修建材产品选择和报价</w:t>
      </w:r>
    </w:p>
    <w:p>
      <w:pPr>
        <w:ind w:firstLine="480" w:firstLineChars="200"/>
        <w:rPr>
          <w:rFonts w:ascii="宋体" w:hAnsi="宋体"/>
          <w:color w:val="000000" w:themeColor="text1"/>
        </w:rPr>
      </w:pPr>
      <w:r>
        <w:rPr>
          <w:rFonts w:hint="eastAsia" w:ascii="宋体" w:hAnsi="宋体"/>
          <w:color w:val="000000" w:themeColor="text1"/>
        </w:rPr>
        <w:t>（1）承包商按照采购人人给出的供应商或参考品牌（见第六章“采购需求”相关规定）选择相应乙供物资及装修建材产品并确定价格。</w:t>
      </w:r>
    </w:p>
    <w:p>
      <w:pPr>
        <w:ind w:firstLine="480" w:firstLineChars="200"/>
        <w:rPr>
          <w:rFonts w:ascii="宋体" w:hAnsi="宋体"/>
          <w:color w:val="000000" w:themeColor="text1"/>
        </w:rPr>
      </w:pPr>
      <w:r>
        <w:rPr>
          <w:rFonts w:hint="eastAsia" w:ascii="宋体" w:hAnsi="宋体"/>
          <w:color w:val="000000" w:themeColor="text1"/>
        </w:rPr>
        <w:t>（2）若采购人只推荐了一个品牌，则要求承包商和其施工分包人选择该品牌，或选择品质不低于该品牌的其他产品。</w:t>
      </w:r>
    </w:p>
    <w:p>
      <w:pPr>
        <w:ind w:firstLine="480" w:firstLineChars="200"/>
        <w:rPr>
          <w:rFonts w:ascii="宋体" w:hAnsi="宋体"/>
          <w:color w:val="000000" w:themeColor="text1"/>
        </w:rPr>
      </w:pPr>
      <w:r>
        <w:rPr>
          <w:rFonts w:hint="eastAsia" w:ascii="宋体" w:hAnsi="宋体"/>
          <w:color w:val="000000" w:themeColor="text1"/>
        </w:rPr>
        <w:t>（3）未明确品牌或厂家的产品，承包商和其施工分包人须采购著名国产或合资企业生产的中、高档产品。</w:t>
      </w:r>
    </w:p>
    <w:p>
      <w:pPr>
        <w:ind w:firstLine="480" w:firstLineChars="200"/>
        <w:rPr>
          <w:rFonts w:ascii="宋体" w:hAnsi="宋体"/>
          <w:color w:val="000000" w:themeColor="text1"/>
        </w:rPr>
      </w:pPr>
      <w:r>
        <w:rPr>
          <w:rFonts w:hint="eastAsia" w:ascii="宋体" w:hAnsi="宋体"/>
          <w:color w:val="000000" w:themeColor="text1"/>
        </w:rPr>
        <w:t>（4）须采购或加工制作符合本采购文件、经采购人审查后的施工图纸设计文件要求的乙供物资及装修建材产品。不论承包商人和其施工分包人报价时该等乙供物资及装修建材的金额是多少，如果不符合品质、技术规格等要求，承包商和其施工分包人须按照本采购文件、经采购人审查后的施工图纸设计文件的要求，采购或加工制作符合要求的乙供物资及装修建材产品，其价差部分由承包商和其施工分包人自行承担。</w:t>
      </w:r>
    </w:p>
    <w:p>
      <w:pPr>
        <w:ind w:firstLine="480" w:firstLineChars="200"/>
        <w:rPr>
          <w:rFonts w:ascii="宋体" w:hAnsi="宋体"/>
          <w:color w:val="000000" w:themeColor="text1"/>
        </w:rPr>
      </w:pPr>
      <w:r>
        <w:rPr>
          <w:rFonts w:hint="eastAsia" w:ascii="宋体" w:hAnsi="宋体"/>
          <w:color w:val="000000" w:themeColor="text1"/>
        </w:rPr>
        <w:t>（5）若在第六章“采购需求”中要求承包商在采购前提供乙供物资及装修建材产品的样品，承包商应按照规定提供，并在报价中综合计取相关费用。</w:t>
      </w:r>
    </w:p>
    <w:p>
      <w:pPr>
        <w:snapToGrid w:val="0"/>
        <w:ind w:firstLine="465"/>
        <w:jc w:val="left"/>
        <w:rPr>
          <w:rFonts w:ascii="宋体" w:hAnsi="宋体"/>
          <w:color w:val="000000" w:themeColor="text1"/>
        </w:rPr>
      </w:pPr>
      <w:r>
        <w:rPr>
          <w:rFonts w:hint="eastAsia" w:ascii="宋体" w:hAnsi="宋体"/>
          <w:color w:val="000000" w:themeColor="text1"/>
        </w:rPr>
        <w:t>7.4企业</w:t>
      </w:r>
      <w:r>
        <w:rPr>
          <w:rFonts w:ascii="宋体" w:hAnsi="宋体"/>
          <w:color w:val="000000" w:themeColor="text1"/>
        </w:rPr>
        <w:t>管理费和利润由</w:t>
      </w:r>
      <w:r>
        <w:rPr>
          <w:rFonts w:hint="eastAsia" w:ascii="宋体" w:hAnsi="宋体"/>
          <w:color w:val="000000" w:themeColor="text1"/>
        </w:rPr>
        <w:t>承包商</w:t>
      </w:r>
      <w:r>
        <w:rPr>
          <w:rFonts w:ascii="宋体" w:hAnsi="宋体"/>
          <w:color w:val="000000" w:themeColor="text1"/>
        </w:rPr>
        <w:t>在保证不低于其成本的基础上做竞争性考虑</w:t>
      </w:r>
      <w:r>
        <w:rPr>
          <w:rFonts w:hint="eastAsia" w:ascii="宋体" w:hAnsi="宋体"/>
          <w:color w:val="000000" w:themeColor="text1"/>
        </w:rPr>
        <w:t xml:space="preserve">。 </w:t>
      </w:r>
    </w:p>
    <w:p>
      <w:pPr>
        <w:snapToGrid w:val="0"/>
        <w:ind w:firstLine="465"/>
        <w:jc w:val="left"/>
        <w:rPr>
          <w:rFonts w:ascii="宋体" w:hAnsi="宋体"/>
          <w:color w:val="000000" w:themeColor="text1"/>
        </w:rPr>
      </w:pPr>
      <w:r>
        <w:rPr>
          <w:rFonts w:hint="eastAsia" w:ascii="宋体" w:hAnsi="宋体"/>
          <w:color w:val="000000" w:themeColor="text1"/>
        </w:rPr>
        <w:t>7.5承包商应根据现行</w:t>
      </w:r>
      <w:r>
        <w:rPr>
          <w:rFonts w:ascii="宋体" w:hAnsi="宋体"/>
          <w:color w:val="000000" w:themeColor="text1"/>
        </w:rPr>
        <w:t>规定</w:t>
      </w:r>
      <w:r>
        <w:rPr>
          <w:rFonts w:hint="eastAsia" w:ascii="宋体" w:hAnsi="宋体"/>
          <w:color w:val="000000" w:themeColor="text1"/>
        </w:rPr>
        <w:t>计取农民工工伤保险费用。</w:t>
      </w:r>
    </w:p>
    <w:p>
      <w:pPr>
        <w:ind w:firstLine="480" w:firstLineChars="200"/>
        <w:rPr>
          <w:rFonts w:ascii="宋体" w:hAnsi="宋体"/>
          <w:color w:val="000000" w:themeColor="text1"/>
        </w:rPr>
      </w:pPr>
      <w:r>
        <w:rPr>
          <w:rFonts w:hint="eastAsia" w:ascii="宋体" w:hAnsi="宋体"/>
          <w:color w:val="000000" w:themeColor="text1"/>
        </w:rPr>
        <w:t>7.6承包商应充分考虑在施工中扰民、民扰的情况，制定相应有效的防范措施并在报价中综合计取所涉及的费用。</w:t>
      </w:r>
    </w:p>
    <w:p>
      <w:pPr>
        <w:snapToGrid w:val="0"/>
        <w:ind w:firstLine="480"/>
        <w:rPr>
          <w:rFonts w:ascii="宋体" w:hAnsi="宋体"/>
          <w:color w:val="000000" w:themeColor="text1"/>
        </w:rPr>
      </w:pPr>
      <w:r>
        <w:rPr>
          <w:rFonts w:hint="eastAsia" w:ascii="宋体" w:hAnsi="宋体"/>
          <w:color w:val="000000" w:themeColor="text1"/>
        </w:rPr>
        <w:t>7.9报价中须包含的其他费用见第五章“合同条款”相关内容及采购文件其他相应内容。</w:t>
      </w:r>
    </w:p>
    <w:p>
      <w:pPr>
        <w:snapToGrid w:val="0"/>
        <w:ind w:firstLine="480"/>
        <w:rPr>
          <w:rFonts w:ascii="宋体" w:hAnsi="宋体"/>
          <w:color w:val="000000" w:themeColor="text1"/>
        </w:rPr>
      </w:pPr>
    </w:p>
    <w:p>
      <w:pPr>
        <w:snapToGrid w:val="0"/>
        <w:ind w:firstLine="480"/>
        <w:rPr>
          <w:rFonts w:ascii="宋体" w:hAnsi="宋体"/>
          <w:color w:val="000000" w:themeColor="text1"/>
        </w:rPr>
      </w:pPr>
    </w:p>
    <w:p>
      <w:pPr>
        <w:jc w:val="center"/>
        <w:rPr>
          <w:rFonts w:ascii="楷体_GB2312" w:hAnsi="Courier New" w:eastAsia="楷体_GB2312"/>
          <w:b/>
          <w:bCs/>
          <w:color w:val="000000" w:themeColor="text1"/>
          <w:w w:val="90"/>
          <w:sz w:val="36"/>
          <w:szCs w:val="36"/>
        </w:rPr>
      </w:pPr>
      <w:r>
        <w:rPr>
          <w:rFonts w:hint="eastAsia" w:ascii="楷体_GB2312" w:hAnsi="Courier New" w:eastAsia="楷体_GB2312"/>
          <w:b/>
          <w:bCs/>
          <w:color w:val="000000" w:themeColor="text1"/>
          <w:w w:val="90"/>
          <w:sz w:val="36"/>
          <w:szCs w:val="36"/>
        </w:rPr>
        <w:t>建 筑 结 算 表</w:t>
      </w:r>
    </w:p>
    <w:p>
      <w:pPr>
        <w:jc w:val="center"/>
        <w:rPr>
          <w:rFonts w:ascii="楷体_GB2312" w:hAnsi="Courier New" w:eastAsia="楷体_GB2312"/>
          <w:bCs/>
          <w:color w:val="000000" w:themeColor="text1"/>
          <w:w w:val="90"/>
        </w:rPr>
      </w:pPr>
      <w:r>
        <w:rPr>
          <w:rFonts w:hint="eastAsia" w:ascii="楷体_GB2312" w:hAnsi="Courier New" w:eastAsia="楷体_GB2312"/>
          <w:bCs/>
          <w:color w:val="000000" w:themeColor="text1"/>
          <w:w w:val="90"/>
        </w:rPr>
        <w:t>（</w:t>
      </w:r>
      <w:r>
        <w:rPr>
          <w:rFonts w:hint="eastAsia" w:ascii="楷体_GB2312" w:hAnsi="Courier New" w:eastAsia="楷体_GB2312"/>
          <w:b/>
          <w:bCs/>
          <w:color w:val="000000" w:themeColor="text1"/>
          <w:w w:val="90"/>
        </w:rPr>
        <w:t>执行</w:t>
      </w:r>
      <w:r>
        <w:rPr>
          <w:rFonts w:hint="eastAsia" w:ascii="楷体_GB2312" w:hAnsi="Courier New" w:eastAsia="楷体_GB2312"/>
          <w:b/>
          <w:bCs/>
          <w:color w:val="000000" w:themeColor="text1"/>
          <w:w w:val="90"/>
          <w:highlight w:val="yellow"/>
        </w:rPr>
        <w:t>2014年江苏省建筑与装饰工程计价定额</w:t>
      </w:r>
      <w:r>
        <w:rPr>
          <w:rFonts w:hint="eastAsia" w:ascii="楷体_GB2312" w:hAnsi="Courier New" w:eastAsia="楷体_GB2312"/>
          <w:bCs/>
          <w:color w:val="000000" w:themeColor="text1"/>
          <w:w w:val="90"/>
        </w:rPr>
        <w:t>）</w:t>
      </w:r>
    </w:p>
    <w:p>
      <w:pPr>
        <w:rPr>
          <w:rFonts w:ascii="楷体_GB2312" w:hAnsi="宋体" w:eastAsia="楷体_GB2312"/>
          <w:color w:val="000000" w:themeColor="text1"/>
          <w:szCs w:val="21"/>
          <w:u w:val="single"/>
        </w:rPr>
      </w:pPr>
      <w:r>
        <w:rPr>
          <w:rFonts w:hint="eastAsia" w:ascii="楷体_GB2312" w:eastAsia="楷体_GB2312"/>
          <w:color w:val="000000" w:themeColor="text1"/>
          <w:szCs w:val="21"/>
        </w:rPr>
        <w:t>工程名称：</w:t>
      </w:r>
    </w:p>
    <w:tbl>
      <w:tblPr>
        <w:tblStyle w:val="60"/>
        <w:tblW w:w="9498" w:type="dxa"/>
        <w:tblInd w:w="-552" w:type="dxa"/>
        <w:tblLayout w:type="fixed"/>
        <w:tblCellMar>
          <w:top w:w="0" w:type="dxa"/>
          <w:left w:w="0" w:type="dxa"/>
          <w:bottom w:w="0" w:type="dxa"/>
          <w:right w:w="0" w:type="dxa"/>
        </w:tblCellMar>
      </w:tblPr>
      <w:tblGrid>
        <w:gridCol w:w="709"/>
        <w:gridCol w:w="1985"/>
        <w:gridCol w:w="4536"/>
        <w:gridCol w:w="2268"/>
      </w:tblGrid>
      <w:tr>
        <w:tblPrEx>
          <w:tblCellMar>
            <w:top w:w="0" w:type="dxa"/>
            <w:left w:w="0" w:type="dxa"/>
            <w:bottom w:w="0" w:type="dxa"/>
            <w:right w:w="0" w:type="dxa"/>
          </w:tblCellMar>
        </w:tblPrEx>
        <w:trPr>
          <w:trHeight w:val="472" w:hRule="atLeast"/>
        </w:trPr>
        <w:tc>
          <w:tcPr>
            <w:tcW w:w="709"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Cs w:val="21"/>
              </w:rPr>
            </w:pPr>
            <w:r>
              <w:rPr>
                <w:rFonts w:hint="eastAsia"/>
                <w:bCs/>
                <w:color w:val="000000" w:themeColor="text1"/>
                <w:szCs w:val="21"/>
              </w:rPr>
              <w:t>序号</w:t>
            </w:r>
          </w:p>
        </w:tc>
        <w:tc>
          <w:tcPr>
            <w:tcW w:w="1985" w:type="dxa"/>
            <w:tcBorders>
              <w:top w:val="single" w:color="auto" w:sz="8"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Cs w:val="21"/>
              </w:rPr>
            </w:pPr>
            <w:r>
              <w:rPr>
                <w:rFonts w:hint="eastAsia"/>
                <w:bCs/>
                <w:color w:val="000000" w:themeColor="text1"/>
                <w:szCs w:val="21"/>
              </w:rPr>
              <w:t>费用名称</w:t>
            </w:r>
          </w:p>
        </w:tc>
        <w:tc>
          <w:tcPr>
            <w:tcW w:w="4536" w:type="dxa"/>
            <w:tcBorders>
              <w:top w:val="single" w:color="auto" w:sz="8"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Cs w:val="21"/>
              </w:rPr>
            </w:pPr>
            <w:r>
              <w:rPr>
                <w:rFonts w:hint="eastAsia"/>
                <w:bCs/>
                <w:color w:val="000000" w:themeColor="text1"/>
                <w:szCs w:val="21"/>
              </w:rPr>
              <w:t>计算公式</w:t>
            </w:r>
          </w:p>
        </w:tc>
        <w:tc>
          <w:tcPr>
            <w:tcW w:w="2268" w:type="dxa"/>
            <w:tcBorders>
              <w:top w:val="single" w:color="auto" w:sz="8"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 w:val="30"/>
              </w:rPr>
            </w:pPr>
            <w:r>
              <w:rPr>
                <w:rFonts w:hint="eastAsia"/>
                <w:bCs/>
                <w:color w:val="000000" w:themeColor="text1"/>
                <w:sz w:val="30"/>
              </w:rPr>
              <w:t>备注</w:t>
            </w:r>
          </w:p>
        </w:tc>
      </w:tr>
      <w:tr>
        <w:tblPrEx>
          <w:tblCellMar>
            <w:top w:w="0" w:type="dxa"/>
            <w:left w:w="0" w:type="dxa"/>
            <w:bottom w:w="0" w:type="dxa"/>
            <w:right w:w="0" w:type="dxa"/>
          </w:tblCellMar>
        </w:tblPrEx>
        <w:trPr>
          <w:trHeight w:val="451" w:hRule="atLeast"/>
        </w:trPr>
        <w:tc>
          <w:tcPr>
            <w:tcW w:w="709" w:type="dxa"/>
            <w:vMerge w:val="restar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一</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分部分项费用</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工程量</w:t>
            </w:r>
            <w:r>
              <w:rPr>
                <w:color w:val="000000" w:themeColor="text1"/>
                <w:szCs w:val="21"/>
              </w:rPr>
              <w:t>×</w:t>
            </w:r>
            <w:r>
              <w:rPr>
                <w:rFonts w:hint="eastAsia"/>
                <w:color w:val="000000" w:themeColor="text1"/>
                <w:szCs w:val="21"/>
              </w:rPr>
              <w:t>除税综合单价</w:t>
            </w:r>
          </w:p>
        </w:tc>
        <w:tc>
          <w:tcPr>
            <w:tcW w:w="2268" w:type="dxa"/>
            <w:vMerge w:val="restart"/>
            <w:tcBorders>
              <w:top w:val="nil"/>
              <w:left w:val="nil"/>
              <w:bottom w:val="single" w:color="auto" w:sz="4" w:space="0"/>
              <w:right w:val="single" w:color="auto" w:sz="8" w:space="0"/>
            </w:tcBorders>
            <w:noWrap/>
            <w:tcMar>
              <w:top w:w="15" w:type="dxa"/>
              <w:left w:w="15" w:type="dxa"/>
              <w:bottom w:w="0" w:type="dxa"/>
              <w:right w:w="15" w:type="dxa"/>
            </w:tcMar>
            <w:vAlign w:val="center"/>
          </w:tcPr>
          <w:p>
            <w:pPr>
              <w:rPr>
                <w:rFonts w:ascii="宋体" w:hAnsi="宋体"/>
                <w:color w:val="000000" w:themeColor="text1"/>
                <w:sz w:val="18"/>
                <w:szCs w:val="18"/>
              </w:rPr>
            </w:pPr>
            <w:r>
              <w:rPr>
                <w:rFonts w:hint="eastAsia"/>
                <w:color w:val="000000" w:themeColor="text1"/>
              </w:rPr>
              <w:t>　</w:t>
            </w:r>
            <w:r>
              <w:rPr>
                <w:rFonts w:hint="eastAsia" w:ascii="宋体" w:hAnsi="宋体"/>
                <w:b/>
                <w:color w:val="000000" w:themeColor="text1"/>
                <w:sz w:val="18"/>
                <w:szCs w:val="18"/>
                <w:highlight w:val="yellow"/>
              </w:rPr>
              <w:t>人工单价执行苏建函价〔2016〕570号,按《江苏省建设工程费用定额》（2014年）分类取费</w:t>
            </w:r>
            <w:r>
              <w:rPr>
                <w:rFonts w:hint="eastAsia" w:ascii="宋体" w:hAnsi="宋体"/>
                <w:color w:val="000000" w:themeColor="text1"/>
                <w:sz w:val="18"/>
                <w:szCs w:val="18"/>
                <w:highlight w:val="yellow"/>
              </w:rPr>
              <w:t>。费、税执行苏建价【2016】154号。</w:t>
            </w:r>
          </w:p>
          <w:p>
            <w:pPr>
              <w:spacing w:line="300" w:lineRule="exact"/>
              <w:rPr>
                <w:rFonts w:ascii="宋体" w:hAnsi="宋体"/>
                <w:color w:val="000000" w:themeColor="text1"/>
                <w:sz w:val="18"/>
                <w:szCs w:val="18"/>
              </w:rPr>
            </w:pPr>
          </w:p>
          <w:p>
            <w:pPr>
              <w:spacing w:line="500" w:lineRule="exact"/>
              <w:rPr>
                <w:rFonts w:ascii="宋体" w:hAnsi="宋体"/>
                <w:color w:val="000000" w:themeColor="text1"/>
                <w:szCs w:val="21"/>
              </w:rPr>
            </w:pPr>
          </w:p>
        </w:tc>
      </w:tr>
      <w:tr>
        <w:tblPrEx>
          <w:tblCellMar>
            <w:top w:w="0" w:type="dxa"/>
            <w:left w:w="0" w:type="dxa"/>
            <w:bottom w:w="0" w:type="dxa"/>
            <w:right w:w="0" w:type="dxa"/>
          </w:tblCellMar>
        </w:tblPrEx>
        <w:trPr>
          <w:trHeight w:val="608"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themeColor="text1"/>
                <w:szCs w:val="21"/>
              </w:rPr>
            </w:pP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color w:val="000000" w:themeColor="text1"/>
                <w:szCs w:val="21"/>
              </w:rPr>
            </w:pPr>
            <w:r>
              <w:rPr>
                <w:color w:val="000000" w:themeColor="text1"/>
                <w:szCs w:val="21"/>
              </w:rPr>
              <w:t>1</w:t>
            </w:r>
            <w:r>
              <w:rPr>
                <w:rFonts w:hint="eastAsia"/>
                <w:color w:val="000000" w:themeColor="text1"/>
                <w:szCs w:val="21"/>
              </w:rPr>
              <w:t>、人工费</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计价表人工消耗量</w:t>
            </w:r>
            <w:r>
              <w:rPr>
                <w:color w:val="000000" w:themeColor="text1"/>
                <w:szCs w:val="21"/>
              </w:rPr>
              <w:t>×</w:t>
            </w:r>
            <w:r>
              <w:rPr>
                <w:rFonts w:hint="eastAsia"/>
                <w:color w:val="000000" w:themeColor="text1"/>
                <w:szCs w:val="21"/>
              </w:rPr>
              <w:t>人工单价</w:t>
            </w:r>
          </w:p>
        </w:tc>
        <w:tc>
          <w:tcPr>
            <w:tcW w:w="2268" w:type="dxa"/>
            <w:vMerge w:val="continue"/>
            <w:tcBorders>
              <w:top w:val="nil"/>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trHeight w:val="604"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themeColor="text1"/>
                <w:szCs w:val="21"/>
              </w:rPr>
            </w:pP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2</w:t>
            </w:r>
            <w:r>
              <w:rPr>
                <w:rFonts w:hint="eastAsia"/>
                <w:color w:val="000000" w:themeColor="text1"/>
                <w:szCs w:val="21"/>
              </w:rPr>
              <w:t>、材料费</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计价表材料消耗量</w:t>
            </w:r>
            <w:r>
              <w:rPr>
                <w:color w:val="000000" w:themeColor="text1"/>
                <w:szCs w:val="21"/>
              </w:rPr>
              <w:t>×</w:t>
            </w:r>
            <w:r>
              <w:rPr>
                <w:rFonts w:hint="eastAsia"/>
                <w:color w:val="000000" w:themeColor="text1"/>
                <w:szCs w:val="21"/>
              </w:rPr>
              <w:t>除税材料单价</w:t>
            </w:r>
          </w:p>
        </w:tc>
        <w:tc>
          <w:tcPr>
            <w:tcW w:w="2268" w:type="dxa"/>
            <w:vMerge w:val="continue"/>
            <w:tcBorders>
              <w:top w:val="nil"/>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trHeight w:val="577"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themeColor="text1"/>
                <w:szCs w:val="21"/>
              </w:rPr>
            </w:pP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3</w:t>
            </w:r>
            <w:r>
              <w:rPr>
                <w:rFonts w:hint="eastAsia"/>
                <w:color w:val="000000" w:themeColor="text1"/>
                <w:szCs w:val="21"/>
              </w:rPr>
              <w:t>、机械费</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计价表机械消耗量</w:t>
            </w:r>
            <w:r>
              <w:rPr>
                <w:color w:val="000000" w:themeColor="text1"/>
                <w:szCs w:val="21"/>
              </w:rPr>
              <w:t>×</w:t>
            </w:r>
            <w:r>
              <w:rPr>
                <w:rFonts w:hint="eastAsia"/>
                <w:color w:val="000000" w:themeColor="text1"/>
                <w:szCs w:val="21"/>
              </w:rPr>
              <w:t>除税机械单价</w:t>
            </w:r>
          </w:p>
        </w:tc>
        <w:tc>
          <w:tcPr>
            <w:tcW w:w="2268" w:type="dxa"/>
            <w:vMerge w:val="continue"/>
            <w:tcBorders>
              <w:top w:val="nil"/>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trHeight w:val="698"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themeColor="text1"/>
                <w:szCs w:val="21"/>
              </w:rPr>
            </w:pP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4</w:t>
            </w:r>
            <w:r>
              <w:rPr>
                <w:rFonts w:hint="eastAsia"/>
                <w:color w:val="000000" w:themeColor="text1"/>
                <w:szCs w:val="21"/>
              </w:rPr>
              <w:t>、企业管理费</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w:t>
            </w:r>
            <w:r>
              <w:rPr>
                <w:color w:val="000000" w:themeColor="text1"/>
                <w:szCs w:val="21"/>
              </w:rPr>
              <w:t>1+3</w:t>
            </w:r>
            <w:r>
              <w:rPr>
                <w:rFonts w:hint="eastAsia"/>
                <w:color w:val="000000" w:themeColor="text1"/>
                <w:szCs w:val="21"/>
              </w:rPr>
              <w:t>）</w:t>
            </w:r>
            <w:r>
              <w:rPr>
                <w:color w:val="000000" w:themeColor="text1"/>
                <w:szCs w:val="21"/>
              </w:rPr>
              <w:t>×</w:t>
            </w:r>
            <w:r>
              <w:rPr>
                <w:rFonts w:hint="eastAsia"/>
                <w:color w:val="000000" w:themeColor="text1"/>
                <w:szCs w:val="21"/>
              </w:rPr>
              <w:t>管理费率</w:t>
            </w:r>
          </w:p>
        </w:tc>
        <w:tc>
          <w:tcPr>
            <w:tcW w:w="2268" w:type="dxa"/>
            <w:vMerge w:val="continue"/>
            <w:tcBorders>
              <w:top w:val="nil"/>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trHeight w:val="611"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themeColor="text1"/>
                <w:szCs w:val="21"/>
              </w:rPr>
            </w:pP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5</w:t>
            </w:r>
            <w:r>
              <w:rPr>
                <w:rFonts w:hint="eastAsia"/>
                <w:color w:val="000000" w:themeColor="text1"/>
                <w:szCs w:val="21"/>
              </w:rPr>
              <w:t>、利   润</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w:t>
            </w:r>
            <w:r>
              <w:rPr>
                <w:color w:val="000000" w:themeColor="text1"/>
                <w:szCs w:val="21"/>
              </w:rPr>
              <w:t>1+3</w:t>
            </w:r>
            <w:r>
              <w:rPr>
                <w:rFonts w:hint="eastAsia"/>
                <w:color w:val="000000" w:themeColor="text1"/>
                <w:szCs w:val="21"/>
              </w:rPr>
              <w:t>）</w:t>
            </w:r>
            <w:r>
              <w:rPr>
                <w:color w:val="000000" w:themeColor="text1"/>
                <w:szCs w:val="21"/>
              </w:rPr>
              <w:t>×</w:t>
            </w:r>
            <w:r>
              <w:rPr>
                <w:rFonts w:hint="eastAsia"/>
                <w:color w:val="000000" w:themeColor="text1"/>
                <w:szCs w:val="21"/>
              </w:rPr>
              <w:t>利润率</w:t>
            </w:r>
          </w:p>
        </w:tc>
        <w:tc>
          <w:tcPr>
            <w:tcW w:w="2268" w:type="dxa"/>
            <w:vMerge w:val="continue"/>
            <w:tcBorders>
              <w:top w:val="nil"/>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trHeight w:val="898" w:hRule="atLeast"/>
        </w:trPr>
        <w:tc>
          <w:tcPr>
            <w:tcW w:w="709" w:type="dxa"/>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二</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color w:val="000000" w:themeColor="text1"/>
                <w:szCs w:val="21"/>
              </w:rPr>
              <w:t>措施项目清单费用</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color w:val="000000" w:themeColor="text1"/>
                <w:szCs w:val="21"/>
              </w:rPr>
              <w:t>(</w:t>
            </w:r>
            <w:r>
              <w:rPr>
                <w:rFonts w:hint="eastAsia"/>
                <w:color w:val="000000" w:themeColor="text1"/>
                <w:szCs w:val="21"/>
              </w:rPr>
              <w:t>分部分项工程费用</w:t>
            </w:r>
            <w:r>
              <w:rPr>
                <w:color w:val="000000" w:themeColor="text1"/>
                <w:szCs w:val="21"/>
              </w:rPr>
              <w:t>+</w:t>
            </w:r>
            <w:r>
              <w:rPr>
                <w:rFonts w:hint="eastAsia"/>
                <w:color w:val="000000" w:themeColor="text1"/>
                <w:szCs w:val="21"/>
              </w:rPr>
              <w:t>单价措施项目费</w:t>
            </w:r>
            <w:r>
              <w:rPr>
                <w:color w:val="000000" w:themeColor="text1"/>
                <w:szCs w:val="21"/>
              </w:rPr>
              <w:t>-</w:t>
            </w:r>
            <w:r>
              <w:rPr>
                <w:rFonts w:hint="eastAsia"/>
                <w:color w:val="000000" w:themeColor="text1"/>
                <w:szCs w:val="21"/>
              </w:rPr>
              <w:t>除税工程设备费</w:t>
            </w:r>
            <w:r>
              <w:rPr>
                <w:color w:val="000000" w:themeColor="text1"/>
                <w:szCs w:val="21"/>
              </w:rPr>
              <w:t>)×</w:t>
            </w:r>
            <w:r>
              <w:rPr>
                <w:rFonts w:hint="eastAsia"/>
                <w:color w:val="000000" w:themeColor="text1"/>
                <w:szCs w:val="21"/>
              </w:rPr>
              <w:t>费率</w:t>
            </w:r>
          </w:p>
          <w:p>
            <w:pPr>
              <w:spacing w:line="500" w:lineRule="exact"/>
              <w:jc w:val="center"/>
              <w:rPr>
                <w:rFonts w:ascii="宋体" w:hAnsi="宋体"/>
                <w:color w:val="000000" w:themeColor="text1"/>
                <w:szCs w:val="21"/>
              </w:rPr>
            </w:pPr>
            <w:r>
              <w:rPr>
                <w:rFonts w:hint="eastAsia"/>
                <w:color w:val="000000" w:themeColor="text1"/>
                <w:szCs w:val="21"/>
              </w:rPr>
              <w:t>或工程量</w:t>
            </w:r>
            <w:r>
              <w:rPr>
                <w:color w:val="000000" w:themeColor="text1"/>
                <w:szCs w:val="21"/>
              </w:rPr>
              <w:t>×</w:t>
            </w:r>
            <w:r>
              <w:rPr>
                <w:rFonts w:hint="eastAsia"/>
                <w:color w:val="000000" w:themeColor="text1"/>
                <w:szCs w:val="21"/>
              </w:rPr>
              <w:t>除税综合单价</w:t>
            </w:r>
          </w:p>
        </w:tc>
        <w:tc>
          <w:tcPr>
            <w:tcW w:w="2268" w:type="dxa"/>
            <w:tcBorders>
              <w:top w:val="nil"/>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rPr>
                <w:rFonts w:ascii="宋体" w:hAnsi="宋体"/>
                <w:color w:val="000000" w:themeColor="text1"/>
              </w:rPr>
            </w:pPr>
            <w:r>
              <w:rPr>
                <w:rFonts w:hint="eastAsia"/>
                <w:color w:val="000000" w:themeColor="text1"/>
              </w:rPr>
              <w:t>　</w:t>
            </w:r>
          </w:p>
        </w:tc>
      </w:tr>
      <w:tr>
        <w:tblPrEx>
          <w:tblCellMar>
            <w:top w:w="0" w:type="dxa"/>
            <w:left w:w="0" w:type="dxa"/>
            <w:bottom w:w="0" w:type="dxa"/>
            <w:right w:w="0" w:type="dxa"/>
          </w:tblCellMar>
        </w:tblPrEx>
        <w:trPr>
          <w:trHeight w:val="360" w:hRule="atLeast"/>
        </w:trPr>
        <w:tc>
          <w:tcPr>
            <w:tcW w:w="709"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三</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color w:val="000000" w:themeColor="text1"/>
                <w:szCs w:val="21"/>
              </w:rPr>
              <w:t>其他项目费用</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p>
        </w:tc>
        <w:tc>
          <w:tcPr>
            <w:tcW w:w="2268" w:type="dxa"/>
            <w:tcBorders>
              <w:top w:val="nil"/>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rPr>
                <w:rFonts w:ascii="宋体" w:hAnsi="宋体"/>
                <w:color w:val="000000" w:themeColor="text1"/>
              </w:rPr>
            </w:pPr>
          </w:p>
        </w:tc>
      </w:tr>
      <w:tr>
        <w:tblPrEx>
          <w:tblCellMar>
            <w:top w:w="0" w:type="dxa"/>
            <w:left w:w="0" w:type="dxa"/>
            <w:bottom w:w="0" w:type="dxa"/>
            <w:right w:w="0" w:type="dxa"/>
          </w:tblCellMar>
        </w:tblPrEx>
        <w:trPr>
          <w:trHeight w:val="345" w:hRule="atLeast"/>
        </w:trPr>
        <w:tc>
          <w:tcPr>
            <w:tcW w:w="709" w:type="dxa"/>
            <w:tcBorders>
              <w:top w:val="single" w:color="auto" w:sz="4"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ascii="宋体" w:hAnsi="宋体"/>
                <w:color w:val="000000" w:themeColor="text1"/>
                <w:szCs w:val="21"/>
              </w:rPr>
              <w:t>四</w:t>
            </w: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优   惠</w:t>
            </w:r>
          </w:p>
        </w:tc>
        <w:tc>
          <w:tcPr>
            <w:tcW w:w="453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ascii="宋体" w:hAnsi="宋体"/>
                <w:b/>
                <w:color w:val="000000" w:themeColor="text1"/>
                <w:szCs w:val="21"/>
                <w:highlight w:val="yellow"/>
              </w:rPr>
              <w:t>（一+二+三-(</w:t>
            </w:r>
            <w:r>
              <w:rPr>
                <w:rFonts w:hint="eastAsia"/>
                <w:b/>
                <w:color w:val="000000" w:themeColor="text1"/>
                <w:szCs w:val="21"/>
                <w:highlight w:val="yellow"/>
              </w:rPr>
              <w:t>除税乙供材料费</w:t>
            </w:r>
            <w:r>
              <w:rPr>
                <w:rFonts w:hint="eastAsia" w:ascii="宋体" w:hAnsi="宋体"/>
                <w:b/>
                <w:color w:val="000000" w:themeColor="text1"/>
                <w:szCs w:val="21"/>
                <w:highlight w:val="yellow"/>
              </w:rPr>
              <w:t>)</w:t>
            </w:r>
            <w:r>
              <w:rPr>
                <w:color w:val="000000" w:themeColor="text1"/>
                <w:szCs w:val="21"/>
              </w:rPr>
              <w:t>×</w:t>
            </w:r>
            <w:r>
              <w:rPr>
                <w:rFonts w:hint="eastAsia"/>
                <w:b/>
                <w:color w:val="000000" w:themeColor="text1"/>
                <w:szCs w:val="21"/>
              </w:rPr>
              <w:t>优惠率</w:t>
            </w:r>
          </w:p>
        </w:tc>
        <w:tc>
          <w:tcPr>
            <w:tcW w:w="2268" w:type="dxa"/>
            <w:tcBorders>
              <w:top w:val="single" w:color="auto" w:sz="4"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b/>
                <w:color w:val="000000" w:themeColor="text1"/>
              </w:rPr>
            </w:pPr>
            <w:r>
              <w:rPr>
                <w:rFonts w:hint="eastAsia"/>
                <w:b/>
                <w:color w:val="000000" w:themeColor="text1"/>
              </w:rPr>
              <w:t>（</w:t>
            </w:r>
            <w:r>
              <w:rPr>
                <w:b/>
                <w:color w:val="000000" w:themeColor="text1"/>
              </w:rPr>
              <w:t>%</w:t>
            </w:r>
            <w:r>
              <w:rPr>
                <w:rFonts w:hint="eastAsia"/>
                <w:b/>
                <w:color w:val="000000" w:themeColor="text1"/>
              </w:rPr>
              <w:t>）</w:t>
            </w:r>
          </w:p>
        </w:tc>
      </w:tr>
      <w:tr>
        <w:tblPrEx>
          <w:tblCellMar>
            <w:top w:w="0" w:type="dxa"/>
            <w:left w:w="0" w:type="dxa"/>
            <w:bottom w:w="0" w:type="dxa"/>
            <w:right w:w="0" w:type="dxa"/>
          </w:tblCellMar>
        </w:tblPrEx>
        <w:trPr>
          <w:trHeight w:val="315" w:hRule="atLeast"/>
        </w:trPr>
        <w:tc>
          <w:tcPr>
            <w:tcW w:w="709" w:type="dxa"/>
            <w:vMerge w:val="restart"/>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五</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ascii="宋体" w:hAnsi="宋体"/>
                <w:color w:val="000000" w:themeColor="text1"/>
                <w:szCs w:val="21"/>
              </w:rPr>
              <w:t>规   费</w:t>
            </w:r>
          </w:p>
        </w:tc>
        <w:tc>
          <w:tcPr>
            <w:tcW w:w="453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p>
        </w:tc>
        <w:tc>
          <w:tcPr>
            <w:tcW w:w="2268" w:type="dxa"/>
            <w:tcBorders>
              <w:top w:val="nil"/>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rPr>
            </w:pPr>
          </w:p>
        </w:tc>
      </w:tr>
      <w:tr>
        <w:tblPrEx>
          <w:tblCellMar>
            <w:top w:w="0" w:type="dxa"/>
            <w:left w:w="0" w:type="dxa"/>
            <w:bottom w:w="0" w:type="dxa"/>
            <w:right w:w="0" w:type="dxa"/>
          </w:tblCellMar>
        </w:tblPrEx>
        <w:trPr>
          <w:trHeight w:val="404" w:hRule="atLeast"/>
        </w:trPr>
        <w:tc>
          <w:tcPr>
            <w:tcW w:w="709"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1、工程排污费</w:t>
            </w:r>
          </w:p>
        </w:tc>
        <w:tc>
          <w:tcPr>
            <w:tcW w:w="4536" w:type="dxa"/>
            <w:vMerge w:val="restart"/>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ascii="宋体" w:hAnsi="宋体"/>
                <w:color w:val="000000" w:themeColor="text1"/>
                <w:szCs w:val="21"/>
              </w:rPr>
              <w:t>（一+二+三-四</w:t>
            </w:r>
            <w:r>
              <w:rPr>
                <w:color w:val="000000" w:themeColor="text1"/>
                <w:szCs w:val="21"/>
              </w:rPr>
              <w:t>-</w:t>
            </w:r>
            <w:r>
              <w:rPr>
                <w:rFonts w:hint="eastAsia"/>
                <w:color w:val="000000" w:themeColor="text1"/>
                <w:szCs w:val="21"/>
              </w:rPr>
              <w:t>除税工程设备费</w:t>
            </w:r>
            <w:r>
              <w:rPr>
                <w:rFonts w:hint="eastAsia" w:ascii="宋体" w:hAnsi="宋体"/>
                <w:color w:val="000000" w:themeColor="text1"/>
                <w:szCs w:val="21"/>
              </w:rPr>
              <w:t>）</w:t>
            </w:r>
            <w:r>
              <w:rPr>
                <w:color w:val="000000" w:themeColor="text1"/>
                <w:szCs w:val="21"/>
              </w:rPr>
              <w:t>×</w:t>
            </w:r>
            <w:r>
              <w:rPr>
                <w:rFonts w:hint="eastAsia"/>
                <w:color w:val="000000" w:themeColor="text1"/>
                <w:szCs w:val="21"/>
              </w:rPr>
              <w:t>费率</w:t>
            </w:r>
          </w:p>
        </w:tc>
        <w:tc>
          <w:tcPr>
            <w:tcW w:w="2268" w:type="dxa"/>
            <w:vMerge w:val="restart"/>
            <w:tcBorders>
              <w:top w:val="single" w:color="auto" w:sz="4"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rPr>
            </w:pPr>
            <w:r>
              <w:rPr>
                <w:rFonts w:hint="eastAsia" w:ascii="宋体" w:hAnsi="宋体"/>
                <w:color w:val="000000" w:themeColor="text1"/>
              </w:rPr>
              <w:t>按规定计取</w:t>
            </w:r>
          </w:p>
        </w:tc>
      </w:tr>
      <w:tr>
        <w:tblPrEx>
          <w:tblCellMar>
            <w:top w:w="0" w:type="dxa"/>
            <w:left w:w="0" w:type="dxa"/>
            <w:bottom w:w="0" w:type="dxa"/>
            <w:right w:w="0" w:type="dxa"/>
          </w:tblCellMar>
        </w:tblPrEx>
        <w:trPr>
          <w:trHeight w:val="255" w:hRule="atLeast"/>
        </w:trPr>
        <w:tc>
          <w:tcPr>
            <w:tcW w:w="709"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2、建筑安全监督管理费</w:t>
            </w:r>
          </w:p>
        </w:tc>
        <w:tc>
          <w:tcPr>
            <w:tcW w:w="453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rPr>
            </w:pPr>
          </w:p>
        </w:tc>
        <w:tc>
          <w:tcPr>
            <w:tcW w:w="2268" w:type="dxa"/>
            <w:vMerge w:val="continue"/>
            <w:tcBorders>
              <w:top w:val="single" w:color="auto" w:sz="4" w:space="0"/>
              <w:left w:val="nil"/>
              <w:bottom w:val="single" w:color="auto" w:sz="4" w:space="0"/>
              <w:right w:val="single" w:color="auto" w:sz="8" w:space="0"/>
            </w:tcBorders>
            <w:vAlign w:val="center"/>
          </w:tcPr>
          <w:p>
            <w:pPr>
              <w:widowControl/>
              <w:jc w:val="left"/>
              <w:rPr>
                <w:rFonts w:ascii="宋体" w:hAnsi="宋体"/>
                <w:color w:val="000000" w:themeColor="text1"/>
              </w:rPr>
            </w:pPr>
          </w:p>
        </w:tc>
      </w:tr>
      <w:tr>
        <w:tblPrEx>
          <w:tblCellMar>
            <w:top w:w="0" w:type="dxa"/>
            <w:left w:w="0" w:type="dxa"/>
            <w:bottom w:w="0" w:type="dxa"/>
            <w:right w:w="0" w:type="dxa"/>
          </w:tblCellMar>
        </w:tblPrEx>
        <w:trPr>
          <w:trHeight w:val="375" w:hRule="atLeast"/>
        </w:trPr>
        <w:tc>
          <w:tcPr>
            <w:tcW w:w="709"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3、社会保障费</w:t>
            </w:r>
          </w:p>
        </w:tc>
        <w:tc>
          <w:tcPr>
            <w:tcW w:w="453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rPr>
            </w:pPr>
          </w:p>
        </w:tc>
        <w:tc>
          <w:tcPr>
            <w:tcW w:w="2268" w:type="dxa"/>
            <w:vMerge w:val="continue"/>
            <w:tcBorders>
              <w:top w:val="single" w:color="auto" w:sz="4" w:space="0"/>
              <w:left w:val="nil"/>
              <w:bottom w:val="single" w:color="auto" w:sz="4" w:space="0"/>
              <w:right w:val="single" w:color="auto" w:sz="8" w:space="0"/>
            </w:tcBorders>
            <w:vAlign w:val="center"/>
          </w:tcPr>
          <w:p>
            <w:pPr>
              <w:widowControl/>
              <w:jc w:val="left"/>
              <w:rPr>
                <w:rFonts w:ascii="宋体" w:hAnsi="宋体"/>
                <w:color w:val="000000" w:themeColor="text1"/>
              </w:rPr>
            </w:pPr>
          </w:p>
        </w:tc>
      </w:tr>
      <w:tr>
        <w:tblPrEx>
          <w:tblCellMar>
            <w:top w:w="0" w:type="dxa"/>
            <w:left w:w="0" w:type="dxa"/>
            <w:bottom w:w="0" w:type="dxa"/>
            <w:right w:w="0" w:type="dxa"/>
          </w:tblCellMar>
        </w:tblPrEx>
        <w:trPr>
          <w:trHeight w:val="240" w:hRule="atLeast"/>
        </w:trPr>
        <w:tc>
          <w:tcPr>
            <w:tcW w:w="709"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4、住房公积金</w:t>
            </w:r>
          </w:p>
        </w:tc>
        <w:tc>
          <w:tcPr>
            <w:tcW w:w="453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rPr>
            </w:pPr>
          </w:p>
        </w:tc>
        <w:tc>
          <w:tcPr>
            <w:tcW w:w="2268" w:type="dxa"/>
            <w:vMerge w:val="continue"/>
            <w:tcBorders>
              <w:top w:val="single" w:color="auto" w:sz="4" w:space="0"/>
              <w:left w:val="nil"/>
              <w:bottom w:val="single" w:color="auto" w:sz="4" w:space="0"/>
              <w:right w:val="single" w:color="auto" w:sz="8" w:space="0"/>
            </w:tcBorders>
            <w:vAlign w:val="center"/>
          </w:tcPr>
          <w:p>
            <w:pPr>
              <w:widowControl/>
              <w:jc w:val="left"/>
              <w:rPr>
                <w:rFonts w:ascii="宋体" w:hAnsi="宋体"/>
                <w:color w:val="000000" w:themeColor="text1"/>
              </w:rPr>
            </w:pPr>
          </w:p>
        </w:tc>
      </w:tr>
      <w:tr>
        <w:tblPrEx>
          <w:tblCellMar>
            <w:top w:w="0" w:type="dxa"/>
            <w:left w:w="0" w:type="dxa"/>
            <w:bottom w:w="0" w:type="dxa"/>
            <w:right w:w="0" w:type="dxa"/>
          </w:tblCellMar>
        </w:tblPrEx>
        <w:trPr>
          <w:trHeight w:val="495" w:hRule="atLeast"/>
        </w:trPr>
        <w:tc>
          <w:tcPr>
            <w:tcW w:w="709" w:type="dxa"/>
            <w:tcBorders>
              <w:top w:val="single" w:color="auto" w:sz="4"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六</w:t>
            </w: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税  金</w:t>
            </w:r>
          </w:p>
        </w:tc>
        <w:tc>
          <w:tcPr>
            <w:tcW w:w="453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ascii="宋体" w:hAnsi="宋体"/>
                <w:color w:val="000000" w:themeColor="text1"/>
                <w:szCs w:val="21"/>
              </w:rPr>
              <w:t>［一+二+三-四+五-(</w:t>
            </w:r>
            <w:r>
              <w:rPr>
                <w:rFonts w:hint="eastAsia"/>
                <w:color w:val="000000" w:themeColor="text1"/>
                <w:szCs w:val="21"/>
              </w:rPr>
              <w:t>除税甲供材料费</w:t>
            </w:r>
            <w:r>
              <w:rPr>
                <w:rFonts w:hint="eastAsia" w:ascii="宋体" w:hAnsi="宋体"/>
                <w:color w:val="000000" w:themeColor="text1"/>
                <w:szCs w:val="21"/>
              </w:rPr>
              <w:t>+</w:t>
            </w:r>
            <w:r>
              <w:rPr>
                <w:rFonts w:hint="eastAsia"/>
                <w:color w:val="000000" w:themeColor="text1"/>
                <w:szCs w:val="21"/>
              </w:rPr>
              <w:t>除税工程设备费</w:t>
            </w:r>
            <w:r>
              <w:rPr>
                <w:rFonts w:hint="eastAsia" w:ascii="宋体" w:hAnsi="宋体"/>
                <w:color w:val="000000" w:themeColor="text1"/>
                <w:szCs w:val="21"/>
              </w:rPr>
              <w:t>)/1.01］</w:t>
            </w:r>
            <w:r>
              <w:rPr>
                <w:color w:val="000000" w:themeColor="text1"/>
                <w:szCs w:val="21"/>
              </w:rPr>
              <w:t>×</w:t>
            </w:r>
            <w:r>
              <w:rPr>
                <w:rFonts w:hint="eastAsia"/>
                <w:color w:val="000000" w:themeColor="text1"/>
                <w:szCs w:val="21"/>
              </w:rPr>
              <w:t>9</w:t>
            </w:r>
            <w:r>
              <w:rPr>
                <w:color w:val="000000" w:themeColor="text1"/>
                <w:szCs w:val="21"/>
              </w:rPr>
              <w:t>%</w:t>
            </w:r>
          </w:p>
        </w:tc>
        <w:tc>
          <w:tcPr>
            <w:tcW w:w="2268" w:type="dxa"/>
            <w:tcBorders>
              <w:top w:val="single" w:color="auto" w:sz="4"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rPr>
            </w:pPr>
            <w:r>
              <w:rPr>
                <w:rFonts w:hint="eastAsia" w:ascii="宋体" w:hAnsi="宋体"/>
                <w:color w:val="000000" w:themeColor="text1"/>
              </w:rPr>
              <w:t>一般计税方法</w:t>
            </w:r>
          </w:p>
        </w:tc>
      </w:tr>
      <w:tr>
        <w:tblPrEx>
          <w:tblCellMar>
            <w:top w:w="0" w:type="dxa"/>
            <w:left w:w="0" w:type="dxa"/>
            <w:bottom w:w="0" w:type="dxa"/>
            <w:right w:w="0" w:type="dxa"/>
          </w:tblCellMar>
        </w:tblPrEx>
        <w:trPr>
          <w:trHeight w:val="800" w:hRule="atLeast"/>
        </w:trPr>
        <w:tc>
          <w:tcPr>
            <w:tcW w:w="709"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七</w:t>
            </w:r>
          </w:p>
        </w:tc>
        <w:tc>
          <w:tcPr>
            <w:tcW w:w="198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工程造价</w:t>
            </w:r>
          </w:p>
        </w:tc>
        <w:tc>
          <w:tcPr>
            <w:tcW w:w="4536"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ascii="宋体" w:hAnsi="宋体"/>
                <w:color w:val="000000" w:themeColor="text1"/>
                <w:szCs w:val="21"/>
              </w:rPr>
              <w:t>一+二+三-四+五-(</w:t>
            </w:r>
            <w:r>
              <w:rPr>
                <w:rFonts w:hint="eastAsia"/>
                <w:color w:val="000000" w:themeColor="text1"/>
                <w:szCs w:val="21"/>
              </w:rPr>
              <w:t>除税甲供材料费</w:t>
            </w:r>
            <w:r>
              <w:rPr>
                <w:rFonts w:hint="eastAsia" w:ascii="宋体" w:hAnsi="宋体"/>
                <w:color w:val="000000" w:themeColor="text1"/>
                <w:szCs w:val="21"/>
              </w:rPr>
              <w:t>+</w:t>
            </w:r>
            <w:r>
              <w:rPr>
                <w:rFonts w:hint="eastAsia"/>
                <w:color w:val="000000" w:themeColor="text1"/>
                <w:szCs w:val="21"/>
              </w:rPr>
              <w:t>除税甲供设备费</w:t>
            </w:r>
            <w:r>
              <w:rPr>
                <w:rFonts w:hint="eastAsia" w:ascii="宋体" w:hAnsi="宋体"/>
                <w:color w:val="000000" w:themeColor="text1"/>
                <w:szCs w:val="21"/>
              </w:rPr>
              <w:t>)/1.01+六</w:t>
            </w:r>
          </w:p>
        </w:tc>
        <w:tc>
          <w:tcPr>
            <w:tcW w:w="2268"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rPr>
                <w:rFonts w:ascii="宋体" w:hAnsi="宋体"/>
                <w:color w:val="000000" w:themeColor="text1"/>
              </w:rPr>
            </w:pPr>
            <w:r>
              <w:rPr>
                <w:rFonts w:hint="eastAsia"/>
                <w:color w:val="000000" w:themeColor="text1"/>
              </w:rPr>
              <w:t>　</w:t>
            </w:r>
          </w:p>
        </w:tc>
      </w:tr>
    </w:tbl>
    <w:p>
      <w:pPr>
        <w:widowControl/>
        <w:spacing w:line="480" w:lineRule="auto"/>
        <w:rPr>
          <w:rFonts w:cs="宋体"/>
          <w:color w:val="000000" w:themeColor="text1"/>
          <w:kern w:val="0"/>
          <w:sz w:val="36"/>
          <w:szCs w:val="36"/>
        </w:rPr>
      </w:pPr>
    </w:p>
    <w:p>
      <w:pPr>
        <w:widowControl/>
        <w:spacing w:line="480" w:lineRule="auto"/>
        <w:jc w:val="center"/>
        <w:rPr>
          <w:rFonts w:ascii="宋体" w:hAnsi="宋体" w:cs="宋体"/>
          <w:b/>
          <w:color w:val="000000" w:themeColor="text1"/>
          <w:kern w:val="0"/>
          <w:sz w:val="32"/>
          <w:szCs w:val="32"/>
        </w:rPr>
      </w:pPr>
      <w:r>
        <w:rPr>
          <w:rFonts w:hint="eastAsia" w:cs="宋体"/>
          <w:b/>
          <w:color w:val="000000" w:themeColor="text1"/>
          <w:kern w:val="0"/>
          <w:sz w:val="32"/>
          <w:szCs w:val="32"/>
        </w:rPr>
        <w:t>措施项目清单与计价表（一）</w:t>
      </w:r>
    </w:p>
    <w:p>
      <w:pPr>
        <w:widowControl/>
        <w:jc w:val="left"/>
        <w:rPr>
          <w:rFonts w:ascii="宋体" w:hAnsi="宋体" w:cs="宋体"/>
          <w:color w:val="000000" w:themeColor="text1"/>
          <w:kern w:val="0"/>
        </w:rPr>
      </w:pPr>
      <w:r>
        <w:rPr>
          <w:rFonts w:hint="eastAsia" w:cs="宋体"/>
          <w:color w:val="000000" w:themeColor="text1"/>
          <w:kern w:val="0"/>
        </w:rPr>
        <w:t>工程名称</w:t>
      </w:r>
      <w:r>
        <w:rPr>
          <w:rFonts w:hint="eastAsia" w:ascii="黑体" w:eastAsia="黑体" w:cs="宋体"/>
          <w:color w:val="000000" w:themeColor="text1"/>
          <w:kern w:val="0"/>
          <w:sz w:val="30"/>
          <w:szCs w:val="30"/>
        </w:rPr>
        <w:t>：</w:t>
      </w:r>
    </w:p>
    <w:tbl>
      <w:tblPr>
        <w:tblStyle w:val="60"/>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3159"/>
        <w:gridCol w:w="2160"/>
        <w:gridCol w:w="2069"/>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cs="宋体"/>
                <w:color w:val="000000" w:themeColor="text1"/>
                <w:kern w:val="0"/>
                <w:szCs w:val="21"/>
              </w:rPr>
              <w:t>序号</w:t>
            </w:r>
          </w:p>
        </w:tc>
        <w:tc>
          <w:tcPr>
            <w:tcW w:w="31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36870404" w:lineRule="auto"/>
              <w:jc w:val="center"/>
              <w:rPr>
                <w:rFonts w:ascii="宋体" w:hAnsi="宋体" w:cs="宋体"/>
                <w:color w:val="000000" w:themeColor="text1"/>
                <w:kern w:val="0"/>
                <w:szCs w:val="21"/>
              </w:rPr>
            </w:pPr>
            <w:r>
              <w:rPr>
                <w:rFonts w:hint="eastAsia" w:cs="宋体"/>
                <w:color w:val="000000" w:themeColor="text1"/>
                <w:kern w:val="0"/>
                <w:szCs w:val="21"/>
              </w:rPr>
              <w:t>项目名称</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cs="宋体"/>
                <w:color w:val="000000" w:themeColor="text1"/>
                <w:kern w:val="0"/>
                <w:szCs w:val="21"/>
              </w:rPr>
              <w:t>计算基础</w:t>
            </w:r>
          </w:p>
        </w:tc>
        <w:tc>
          <w:tcPr>
            <w:tcW w:w="20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36870404" w:lineRule="auto"/>
              <w:jc w:val="center"/>
              <w:rPr>
                <w:rFonts w:ascii="宋体" w:hAnsi="宋体" w:cs="宋体"/>
                <w:color w:val="000000" w:themeColor="text1"/>
                <w:kern w:val="0"/>
                <w:szCs w:val="21"/>
              </w:rPr>
            </w:pPr>
            <w:r>
              <w:rPr>
                <w:rFonts w:hint="eastAsia" w:cs="宋体"/>
                <w:color w:val="000000" w:themeColor="text1"/>
                <w:kern w:val="0"/>
                <w:szCs w:val="21"/>
              </w:rPr>
              <w:t>费率（</w:t>
            </w:r>
            <w:r>
              <w:rPr>
                <w:rFonts w:hint="eastAsia" w:ascii="宋体" w:hAnsi="宋体" w:cs="宋体"/>
                <w:color w:val="000000" w:themeColor="text1"/>
                <w:kern w:val="0"/>
                <w:szCs w:val="21"/>
              </w:rPr>
              <w:t>%</w:t>
            </w:r>
            <w:r>
              <w:rPr>
                <w:rFonts w:hint="eastAsia" w:cs="宋体"/>
                <w:color w:val="000000" w:themeColor="text1"/>
                <w:kern w:val="0"/>
                <w:szCs w:val="21"/>
              </w:rPr>
              <w:t>）</w:t>
            </w:r>
          </w:p>
        </w:tc>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cs="宋体"/>
                <w:color w:val="000000" w:themeColor="text1"/>
                <w:kern w:val="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通用措施项目</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现场安全文明施工（基本费）</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r>
              <w:rPr>
                <w:rFonts w:hint="eastAsia" w:cs="宋体"/>
                <w:color w:val="000000" w:themeColor="text1"/>
                <w:kern w:val="0"/>
                <w:szCs w:val="21"/>
              </w:rPr>
              <w:t>分部分项工程费</w:t>
            </w:r>
            <w:r>
              <w:rPr>
                <w:rFonts w:cs="宋体"/>
                <w:color w:val="000000" w:themeColor="text1"/>
                <w:kern w:val="0"/>
                <w:szCs w:val="21"/>
              </w:rPr>
              <w:t>+</w:t>
            </w:r>
            <w:r>
              <w:rPr>
                <w:rFonts w:hint="eastAsia" w:cs="宋体"/>
                <w:color w:val="000000" w:themeColor="text1"/>
                <w:kern w:val="0"/>
                <w:szCs w:val="21"/>
              </w:rPr>
              <w:t>单价措施项目费</w:t>
            </w:r>
            <w:r>
              <w:rPr>
                <w:rFonts w:cs="宋体"/>
                <w:color w:val="000000" w:themeColor="text1"/>
                <w:kern w:val="0"/>
                <w:szCs w:val="21"/>
              </w:rPr>
              <w:t>-</w:t>
            </w:r>
            <w:r>
              <w:rPr>
                <w:rFonts w:hint="eastAsia" w:cs="宋体"/>
                <w:color w:val="000000" w:themeColor="text1"/>
                <w:kern w:val="0"/>
                <w:szCs w:val="21"/>
              </w:rPr>
              <w:t>除税工程设备费</w:t>
            </w: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r>
              <w:rPr>
                <w:rFonts w:cs="宋体"/>
                <w:color w:val="000000" w:themeColor="text1"/>
                <w:kern w:val="0"/>
                <w:szCs w:val="21"/>
              </w:rPr>
              <w:t>3</w:t>
            </w:r>
            <w:r>
              <w:rPr>
                <w:rFonts w:cs="宋体"/>
                <w:b/>
                <w:color w:val="000000" w:themeColor="text1"/>
                <w:kern w:val="0"/>
                <w:szCs w:val="21"/>
              </w:rPr>
              <w:t>.1</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夜间施工</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冬雨季施工</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已完工程及设备保护</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r>
              <w:rPr>
                <w:rFonts w:cs="宋体"/>
                <w:color w:val="000000" w:themeColor="text1"/>
                <w:kern w:val="0"/>
                <w:szCs w:val="21"/>
              </w:rPr>
              <w:t>0.03</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临时设施</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材料与设备检验试验</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赶工措施</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w:t>
            </w: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工程按质论价</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专业工程措施项目</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3159" w:type="dxa"/>
            <w:tcBorders>
              <w:top w:val="single" w:color="auto" w:sz="4" w:space="0"/>
              <w:left w:val="single" w:color="auto" w:sz="4" w:space="0"/>
              <w:bottom w:val="single" w:color="auto" w:sz="4" w:space="0"/>
              <w:right w:val="single" w:color="auto" w:sz="4" w:space="0"/>
            </w:tcBorders>
          </w:tcPr>
          <w:p>
            <w:pPr>
              <w:widowControl/>
              <w:spacing w:line="536870404" w:lineRule="auto"/>
              <w:jc w:val="left"/>
              <w:rPr>
                <w:rFonts w:ascii="宋体" w:hAnsi="宋体" w:cs="宋体"/>
                <w:color w:val="000000" w:themeColor="text1"/>
                <w:kern w:val="0"/>
                <w:szCs w:val="21"/>
              </w:rPr>
            </w:pPr>
            <w:r>
              <w:rPr>
                <w:rFonts w:hint="eastAsia" w:cs="宋体"/>
                <w:color w:val="000000" w:themeColor="text1"/>
                <w:kern w:val="0"/>
                <w:szCs w:val="21"/>
              </w:rPr>
              <w:t>各专业工程以“费率”计价的措施项目</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159" w:type="dxa"/>
            <w:tcBorders>
              <w:top w:val="single" w:color="auto" w:sz="4" w:space="0"/>
              <w:left w:val="single" w:color="auto" w:sz="4" w:space="0"/>
              <w:bottom w:val="single" w:color="auto" w:sz="4" w:space="0"/>
              <w:right w:val="single" w:color="auto" w:sz="4" w:space="0"/>
            </w:tcBorders>
          </w:tcPr>
          <w:p>
            <w:pPr>
              <w:widowControl/>
              <w:spacing w:line="480" w:lineRule="auto"/>
              <w:ind w:firstLine="480" w:firstLineChars="200"/>
              <w:jc w:val="left"/>
              <w:rPr>
                <w:rFonts w:cs="宋体"/>
                <w:color w:val="000000" w:themeColor="text1"/>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159" w:type="dxa"/>
            <w:tcBorders>
              <w:top w:val="single" w:color="auto" w:sz="4" w:space="0"/>
              <w:left w:val="single" w:color="auto" w:sz="4" w:space="0"/>
              <w:bottom w:val="single" w:color="auto" w:sz="4" w:space="0"/>
              <w:right w:val="single" w:color="auto" w:sz="4" w:space="0"/>
            </w:tcBorders>
          </w:tcPr>
          <w:p>
            <w:pPr>
              <w:widowControl/>
              <w:spacing w:line="480" w:lineRule="auto"/>
              <w:jc w:val="left"/>
              <w:rPr>
                <w:rFonts w:ascii="宋体" w:hAnsi="宋体" w:cs="宋体"/>
                <w:color w:val="000000" w:themeColor="text1"/>
                <w:kern w:val="0"/>
                <w:sz w:val="2"/>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159" w:type="dxa"/>
            <w:tcBorders>
              <w:top w:val="single" w:color="auto" w:sz="4" w:space="0"/>
              <w:left w:val="single" w:color="auto" w:sz="4" w:space="0"/>
              <w:bottom w:val="single" w:color="auto" w:sz="4" w:space="0"/>
              <w:right w:val="single" w:color="auto" w:sz="4" w:space="0"/>
            </w:tcBorders>
          </w:tcPr>
          <w:p>
            <w:pPr>
              <w:widowControl/>
              <w:spacing w:line="480" w:lineRule="auto"/>
              <w:jc w:val="left"/>
              <w:rPr>
                <w:rFonts w:ascii="宋体" w:hAnsi="宋体" w:cs="宋体"/>
                <w:color w:val="000000" w:themeColor="text1"/>
                <w:kern w:val="0"/>
                <w:sz w:val="2"/>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159" w:type="dxa"/>
            <w:tcBorders>
              <w:top w:val="single" w:color="auto" w:sz="4" w:space="0"/>
              <w:left w:val="single" w:color="auto" w:sz="4" w:space="0"/>
              <w:bottom w:val="single" w:color="auto" w:sz="4" w:space="0"/>
              <w:right w:val="single" w:color="auto" w:sz="4" w:space="0"/>
            </w:tcBorders>
          </w:tcPr>
          <w:p>
            <w:pPr>
              <w:widowControl/>
              <w:spacing w:line="480" w:lineRule="auto"/>
              <w:jc w:val="left"/>
              <w:rPr>
                <w:rFonts w:ascii="宋体" w:hAnsi="宋体" w:cs="宋体"/>
                <w:color w:val="000000" w:themeColor="text1"/>
                <w:kern w:val="0"/>
                <w:sz w:val="2"/>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159" w:type="dxa"/>
            <w:tcBorders>
              <w:top w:val="single" w:color="auto" w:sz="4" w:space="0"/>
              <w:left w:val="single" w:color="auto" w:sz="4" w:space="0"/>
              <w:bottom w:val="single" w:color="auto" w:sz="4" w:space="0"/>
              <w:right w:val="single" w:color="auto" w:sz="4" w:space="0"/>
            </w:tcBorders>
          </w:tcPr>
          <w:p>
            <w:pPr>
              <w:widowControl/>
              <w:spacing w:line="480" w:lineRule="auto"/>
              <w:jc w:val="left"/>
              <w:rPr>
                <w:rFonts w:ascii="宋体" w:hAnsi="宋体" w:cs="宋体"/>
                <w:color w:val="000000" w:themeColor="text1"/>
                <w:kern w:val="0"/>
                <w:sz w:val="2"/>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2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cs="宋体"/>
                <w:color w:val="000000" w:themeColor="text1"/>
                <w:kern w:val="0"/>
                <w:szCs w:val="21"/>
              </w:rPr>
              <w:t>合          计</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
                <w:szCs w:val="21"/>
              </w:rPr>
            </w:pPr>
          </w:p>
        </w:tc>
      </w:tr>
    </w:tbl>
    <w:p>
      <w:pPr>
        <w:widowControl/>
        <w:snapToGrid w:val="0"/>
        <w:jc w:val="left"/>
        <w:rPr>
          <w:rFonts w:cs="宋体"/>
          <w:color w:val="000000" w:themeColor="text1"/>
          <w:kern w:val="0"/>
          <w:sz w:val="18"/>
          <w:szCs w:val="18"/>
        </w:rPr>
      </w:pPr>
      <w:r>
        <w:rPr>
          <w:rFonts w:hint="eastAsia" w:cs="宋体"/>
          <w:color w:val="000000" w:themeColor="text1"/>
          <w:kern w:val="0"/>
          <w:sz w:val="18"/>
          <w:szCs w:val="18"/>
        </w:rPr>
        <w:t>注：本表适用于以“费率”计价的措施项目。</w:t>
      </w:r>
    </w:p>
    <w:p>
      <w:pPr>
        <w:widowControl/>
        <w:snapToGrid w:val="0"/>
        <w:jc w:val="left"/>
        <w:rPr>
          <w:rFonts w:ascii="宋体" w:hAnsi="宋体" w:cs="宋体"/>
          <w:color w:val="000000" w:themeColor="text1"/>
          <w:kern w:val="0"/>
          <w:sz w:val="18"/>
          <w:szCs w:val="18"/>
        </w:rPr>
      </w:pPr>
    </w:p>
    <w:p>
      <w:pPr>
        <w:widowControl/>
        <w:snapToGrid w:val="0"/>
        <w:jc w:val="center"/>
        <w:rPr>
          <w:rFonts w:cs="宋体"/>
          <w:color w:val="000000" w:themeColor="text1"/>
          <w:kern w:val="0"/>
          <w:sz w:val="36"/>
          <w:szCs w:val="36"/>
        </w:rPr>
      </w:pPr>
    </w:p>
    <w:p>
      <w:pPr>
        <w:rPr>
          <w:rFonts w:cs="宋体"/>
          <w:color w:val="000000" w:themeColor="text1"/>
          <w:kern w:val="0"/>
          <w:sz w:val="32"/>
          <w:szCs w:val="32"/>
        </w:rPr>
      </w:pPr>
    </w:p>
    <w:p>
      <w:pPr>
        <w:jc w:val="center"/>
        <w:rPr>
          <w:rFonts w:ascii="宋体" w:hAnsi="宋体"/>
          <w:b/>
          <w:bCs/>
          <w:color w:val="000000" w:themeColor="text1"/>
          <w:w w:val="90"/>
          <w:sz w:val="30"/>
          <w:szCs w:val="30"/>
        </w:rPr>
      </w:pPr>
      <w:r>
        <w:rPr>
          <w:rFonts w:hint="eastAsia" w:ascii="宋体" w:hAnsi="宋体"/>
          <w:b/>
          <w:bCs/>
          <w:color w:val="000000" w:themeColor="text1"/>
          <w:w w:val="90"/>
          <w:sz w:val="30"/>
          <w:szCs w:val="30"/>
        </w:rPr>
        <w:t>措施项目清单与计价表（二）</w:t>
      </w:r>
    </w:p>
    <w:p>
      <w:pPr>
        <w:jc w:val="center"/>
        <w:rPr>
          <w:rFonts w:ascii="宋体" w:hAnsi="宋体"/>
          <w:bCs/>
          <w:color w:val="000000" w:themeColor="text1"/>
          <w:w w:val="90"/>
          <w:sz w:val="30"/>
          <w:szCs w:val="30"/>
        </w:rPr>
      </w:pPr>
    </w:p>
    <w:tbl>
      <w:tblPr>
        <w:tblStyle w:val="60"/>
        <w:tblW w:w="45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518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序号</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项目名称</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通用措施项目</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二次搬运</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大型机械设备进出场及安拆</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施工排水</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施工降水</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地上、地下设施，建筑物的临时保护设施</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特殊条件下施工增加</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专业工程措施项目</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各专业工程以“项”计价的措施项目</w:t>
            </w: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tcPr>
          <w:p>
            <w:pPr>
              <w:widowControl/>
              <w:spacing w:line="480" w:lineRule="auto"/>
              <w:jc w:val="left"/>
              <w:rPr>
                <w:rFonts w:ascii="宋体" w:hAnsi="宋体" w:cs="宋体"/>
                <w:color w:val="000000" w:themeColor="text1"/>
                <w:kern w:val="0"/>
                <w:szCs w:val="21"/>
              </w:rPr>
            </w:pP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333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c>
          <w:tcPr>
            <w:tcW w:w="116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bl>
    <w:p>
      <w:pPr>
        <w:widowControl/>
        <w:ind w:left="630" w:hanging="630" w:hangingChars="350"/>
        <w:jc w:val="left"/>
        <w:rPr>
          <w:rFonts w:ascii="宋体" w:hAnsi="宋体" w:cs="宋体"/>
          <w:color w:val="000000" w:themeColor="text1"/>
          <w:kern w:val="0"/>
          <w:sz w:val="18"/>
          <w:szCs w:val="18"/>
        </w:rPr>
      </w:pPr>
      <w:r>
        <w:rPr>
          <w:rFonts w:hint="eastAsia" w:cs="宋体"/>
          <w:color w:val="000000" w:themeColor="text1"/>
          <w:kern w:val="0"/>
          <w:sz w:val="18"/>
          <w:szCs w:val="18"/>
        </w:rPr>
        <w:t>注：</w:t>
      </w:r>
      <w:r>
        <w:rPr>
          <w:rFonts w:hint="eastAsia" w:ascii="宋体" w:hAnsi="宋体" w:cs="宋体"/>
          <w:color w:val="000000" w:themeColor="text1"/>
          <w:kern w:val="0"/>
          <w:sz w:val="18"/>
          <w:szCs w:val="18"/>
        </w:rPr>
        <w:t>1</w:t>
      </w:r>
      <w:r>
        <w:rPr>
          <w:rFonts w:hint="eastAsia" w:cs="宋体"/>
          <w:color w:val="000000" w:themeColor="text1"/>
          <w:kern w:val="0"/>
          <w:sz w:val="18"/>
          <w:szCs w:val="18"/>
        </w:rPr>
        <w:t>、本表适用于以“项”计价的措施项目，具体组成由投标人按江苏省计价表规定组价，在措施项目费用分析表中列出。</w:t>
      </w:r>
    </w:p>
    <w:p>
      <w:pPr>
        <w:widowControl/>
        <w:ind w:left="900" w:hanging="900" w:hangingChars="500"/>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2</w:t>
      </w:r>
      <w:r>
        <w:rPr>
          <w:rFonts w:hint="eastAsia" w:cs="宋体"/>
          <w:color w:val="000000" w:themeColor="text1"/>
          <w:kern w:val="0"/>
          <w:sz w:val="18"/>
          <w:szCs w:val="18"/>
        </w:rPr>
        <w:t>、本表中的“地上、地下设施，建筑物的临时保护设施”和“特殊条件下施工增加”项目可以不进行费用组成分析，直接按金额报价。</w:t>
      </w:r>
    </w:p>
    <w:p>
      <w:pPr>
        <w:widowControl/>
        <w:ind w:left="900" w:hanging="900" w:hangingChars="500"/>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3</w:t>
      </w:r>
      <w:r>
        <w:rPr>
          <w:rFonts w:hint="eastAsia" w:cs="宋体"/>
          <w:color w:val="000000" w:themeColor="text1"/>
          <w:kern w:val="0"/>
          <w:sz w:val="18"/>
          <w:szCs w:val="18"/>
        </w:rPr>
        <w:t>、专业工程中的“模板”和“脚手架”项目，除招标人另有要求的，一般应按江苏省计价表规定的计算规则进行费用组价。</w:t>
      </w:r>
    </w:p>
    <w:p>
      <w:pPr>
        <w:widowControl/>
        <w:spacing w:line="480" w:lineRule="auto"/>
        <w:jc w:val="center"/>
        <w:rPr>
          <w:rFonts w:ascii="宋体" w:hAnsi="宋体" w:cs="宋体"/>
          <w:b/>
          <w:color w:val="000000" w:themeColor="text1"/>
          <w:kern w:val="0"/>
          <w:sz w:val="28"/>
          <w:szCs w:val="28"/>
        </w:rPr>
      </w:pPr>
      <w:r>
        <w:rPr>
          <w:rFonts w:hint="eastAsia" w:cs="宋体"/>
          <w:b/>
          <w:color w:val="000000" w:themeColor="text1"/>
          <w:kern w:val="0"/>
          <w:sz w:val="28"/>
          <w:szCs w:val="28"/>
        </w:rPr>
        <w:t>规费、税金项目清单与计价表</w:t>
      </w:r>
    </w:p>
    <w:p>
      <w:pPr>
        <w:widowControl/>
        <w:jc w:val="left"/>
        <w:rPr>
          <w:rFonts w:ascii="宋体" w:hAnsi="宋体" w:cs="宋体"/>
          <w:color w:val="000000" w:themeColor="text1"/>
          <w:kern w:val="0"/>
        </w:rPr>
      </w:pPr>
    </w:p>
    <w:p>
      <w:pPr>
        <w:widowControl/>
        <w:ind w:firstLine="240" w:firstLineChars="100"/>
        <w:jc w:val="left"/>
        <w:rPr>
          <w:rFonts w:ascii="宋体" w:hAnsi="宋体" w:cs="宋体"/>
          <w:color w:val="000000" w:themeColor="text1"/>
          <w:kern w:val="0"/>
        </w:rPr>
      </w:pPr>
      <w:r>
        <w:rPr>
          <w:rFonts w:hint="eastAsia" w:ascii="宋体" w:hAnsi="宋体" w:cs="宋体"/>
          <w:color w:val="000000" w:themeColor="text1"/>
          <w:kern w:val="0"/>
        </w:rPr>
        <w:t>工程名称：</w:t>
      </w:r>
    </w:p>
    <w:tbl>
      <w:tblPr>
        <w:tblStyle w:val="60"/>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538"/>
        <w:gridCol w:w="2639"/>
        <w:gridCol w:w="134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序号</w:t>
            </w:r>
          </w:p>
        </w:tc>
        <w:tc>
          <w:tcPr>
            <w:tcW w:w="25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项目名称</w:t>
            </w:r>
          </w:p>
        </w:tc>
        <w:tc>
          <w:tcPr>
            <w:tcW w:w="26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计算基础</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费  率（%）</w:t>
            </w:r>
          </w:p>
        </w:tc>
        <w:tc>
          <w:tcPr>
            <w:tcW w:w="15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规    费</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1.1</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工程排污费</w:t>
            </w:r>
          </w:p>
        </w:tc>
        <w:tc>
          <w:tcPr>
            <w:tcW w:w="5531"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按环保部门出具的该项目的收费发票，按实计取。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1.2</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建筑安全监督管理费</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分部分项工程费+措施项目费+其他项目费</w:t>
            </w:r>
            <w:r>
              <w:rPr>
                <w:rFonts w:cs="宋体"/>
                <w:color w:val="000000" w:themeColor="text1"/>
                <w:kern w:val="0"/>
                <w:szCs w:val="21"/>
              </w:rPr>
              <w:t>-</w:t>
            </w:r>
            <w:r>
              <w:rPr>
                <w:rFonts w:hint="eastAsia" w:cs="宋体"/>
                <w:color w:val="000000" w:themeColor="text1"/>
                <w:kern w:val="0"/>
                <w:szCs w:val="21"/>
              </w:rPr>
              <w:t>除税工程设备费</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社会保障费</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分部分项工程费+措施项目费+其他项目费</w:t>
            </w:r>
            <w:r>
              <w:rPr>
                <w:rFonts w:cs="宋体"/>
                <w:color w:val="000000" w:themeColor="text1"/>
                <w:kern w:val="0"/>
                <w:szCs w:val="21"/>
              </w:rPr>
              <w:t>-</w:t>
            </w:r>
            <w:r>
              <w:rPr>
                <w:rFonts w:hint="eastAsia" w:cs="宋体"/>
                <w:color w:val="000000" w:themeColor="text1"/>
                <w:kern w:val="0"/>
                <w:szCs w:val="21"/>
              </w:rPr>
              <w:t>除税工程设备费</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highlight w:val="yellow"/>
              </w:rPr>
            </w:pPr>
            <w:r>
              <w:rPr>
                <w:rFonts w:hint="eastAsia" w:ascii="宋体" w:hAnsi="宋体" w:cs="宋体"/>
                <w:color w:val="000000" w:themeColor="text1"/>
                <w:kern w:val="0"/>
                <w:szCs w:val="21"/>
              </w:rPr>
              <w:t>3.2</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1.4</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住房公积金</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分部分项工程费+措施项目费+其他项目费</w:t>
            </w:r>
            <w:r>
              <w:rPr>
                <w:rFonts w:cs="宋体"/>
                <w:color w:val="000000" w:themeColor="text1"/>
                <w:kern w:val="0"/>
                <w:szCs w:val="21"/>
              </w:rPr>
              <w:t>-</w:t>
            </w:r>
            <w:r>
              <w:rPr>
                <w:rFonts w:hint="eastAsia" w:cs="宋体"/>
                <w:color w:val="000000" w:themeColor="text1"/>
                <w:kern w:val="0"/>
                <w:szCs w:val="21"/>
              </w:rPr>
              <w:t>除税工程设备费</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0.53</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税     金</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分部分项工程费+措施项目费+其他项目费-优惠+规费</w:t>
            </w:r>
            <w:r>
              <w:rPr>
                <w:rFonts w:hint="eastAsia" w:ascii="宋体" w:hAnsi="宋体"/>
                <w:color w:val="000000" w:themeColor="text1"/>
              </w:rPr>
              <w:t>-(</w:t>
            </w:r>
            <w:r>
              <w:rPr>
                <w:rFonts w:hint="eastAsia"/>
                <w:color w:val="000000" w:themeColor="text1"/>
              </w:rPr>
              <w:t>除税甲供材料费</w:t>
            </w:r>
            <w:r>
              <w:rPr>
                <w:rFonts w:hint="eastAsia" w:ascii="宋体" w:hAnsi="宋体"/>
                <w:color w:val="000000" w:themeColor="text1"/>
              </w:rPr>
              <w:t>+</w:t>
            </w:r>
            <w:r>
              <w:rPr>
                <w:rFonts w:hint="eastAsia"/>
                <w:color w:val="000000" w:themeColor="text1"/>
              </w:rPr>
              <w:t>除税工程设备费</w:t>
            </w:r>
            <w:r>
              <w:rPr>
                <w:rFonts w:hint="eastAsia" w:ascii="宋体" w:hAnsi="宋体"/>
                <w:color w:val="000000" w:themeColor="text1"/>
              </w:rPr>
              <w:t>)/1.01</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ind w:firstLine="360" w:firstLineChars="150"/>
              <w:jc w:val="left"/>
              <w:rPr>
                <w:rFonts w:ascii="宋体" w:hAnsi="宋体" w:cs="宋体"/>
                <w:color w:val="000000" w:themeColor="text1"/>
                <w:kern w:val="0"/>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合     计</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bl>
    <w:p>
      <w:pPr>
        <w:rPr>
          <w:color w:val="000000" w:themeColor="text1"/>
        </w:rPr>
      </w:pPr>
    </w:p>
    <w:p>
      <w:pPr>
        <w:rPr>
          <w:color w:val="000000" w:themeColor="text1"/>
        </w:rPr>
      </w:pPr>
    </w:p>
    <w:p>
      <w:pPr>
        <w:rPr>
          <w:color w:val="000000" w:themeColor="text1"/>
        </w:rPr>
      </w:pPr>
    </w:p>
    <w:p>
      <w:pPr>
        <w:widowControl/>
        <w:snapToGrid w:val="0"/>
        <w:rPr>
          <w:rFonts w:ascii="宋体" w:hAnsi="宋体" w:cs="宋体"/>
          <w:color w:val="000000" w:themeColor="text1"/>
          <w:kern w:val="0"/>
          <w:sz w:val="18"/>
          <w:szCs w:val="18"/>
        </w:rPr>
      </w:pPr>
    </w:p>
    <w:tbl>
      <w:tblPr>
        <w:tblStyle w:val="60"/>
        <w:tblW w:w="5000" w:type="pct"/>
        <w:tblInd w:w="-216" w:type="dxa"/>
        <w:tblLayout w:type="autofit"/>
        <w:tblCellMar>
          <w:top w:w="0" w:type="dxa"/>
          <w:left w:w="108" w:type="dxa"/>
          <w:bottom w:w="0" w:type="dxa"/>
          <w:right w:w="108" w:type="dxa"/>
        </w:tblCellMar>
      </w:tblPr>
      <w:tblGrid>
        <w:gridCol w:w="8738"/>
      </w:tblGrid>
      <w:tr>
        <w:tblPrEx>
          <w:tblCellMar>
            <w:top w:w="0" w:type="dxa"/>
            <w:left w:w="108" w:type="dxa"/>
            <w:bottom w:w="0" w:type="dxa"/>
            <w:right w:w="108" w:type="dxa"/>
          </w:tblCellMar>
        </w:tblPrEx>
        <w:trPr>
          <w:trHeight w:val="285" w:hRule="atLeast"/>
        </w:trPr>
        <w:tc>
          <w:tcPr>
            <w:tcW w:w="5000" w:type="pct"/>
          </w:tcPr>
          <w:p>
            <w:pPr>
              <w:rPr>
                <w:rFonts w:ascii="楷体_GB2312" w:hAnsi="Courier New" w:eastAsia="楷体_GB2312"/>
                <w:b/>
                <w:bCs/>
                <w:color w:val="000000" w:themeColor="text1"/>
                <w:w w:val="90"/>
                <w:sz w:val="36"/>
                <w:szCs w:val="36"/>
              </w:rPr>
            </w:pPr>
          </w:p>
          <w:p>
            <w:pPr>
              <w:ind w:firstLine="4214" w:firstLineChars="1295"/>
              <w:rPr>
                <w:rFonts w:ascii="楷体_GB2312" w:hAnsi="Courier New" w:eastAsia="楷体_GB2312"/>
                <w:b/>
                <w:bCs/>
                <w:color w:val="000000" w:themeColor="text1"/>
                <w:w w:val="90"/>
                <w:sz w:val="36"/>
                <w:szCs w:val="36"/>
              </w:rPr>
            </w:pPr>
            <w:r>
              <w:rPr>
                <w:rFonts w:hint="eastAsia" w:ascii="楷体_GB2312" w:hAnsi="Courier New" w:eastAsia="楷体_GB2312"/>
                <w:b/>
                <w:bCs/>
                <w:color w:val="000000" w:themeColor="text1"/>
                <w:w w:val="90"/>
                <w:sz w:val="36"/>
                <w:szCs w:val="36"/>
              </w:rPr>
              <w:t>修 缮 结 算 表</w:t>
            </w:r>
          </w:p>
          <w:p>
            <w:pPr>
              <w:jc w:val="center"/>
              <w:outlineLvl w:val="0"/>
              <w:rPr>
                <w:rFonts w:ascii="楷体_GB2312" w:hAnsi="Courier New" w:eastAsia="楷体_GB2312"/>
                <w:bCs/>
                <w:color w:val="000000" w:themeColor="text1"/>
                <w:w w:val="90"/>
              </w:rPr>
            </w:pPr>
            <w:r>
              <w:rPr>
                <w:rFonts w:hint="eastAsia" w:ascii="楷体_GB2312" w:hAnsi="Courier New" w:eastAsia="楷体_GB2312"/>
                <w:bCs/>
                <w:color w:val="000000" w:themeColor="text1"/>
                <w:w w:val="90"/>
              </w:rPr>
              <w:t xml:space="preserve"> （</w:t>
            </w:r>
            <w:r>
              <w:rPr>
                <w:rFonts w:hint="eastAsia" w:ascii="楷体_GB2312" w:hAnsi="Courier New" w:eastAsia="楷体_GB2312"/>
                <w:b/>
                <w:bCs/>
                <w:color w:val="000000" w:themeColor="text1"/>
                <w:w w:val="90"/>
              </w:rPr>
              <w:t>执行</w:t>
            </w:r>
            <w:r>
              <w:rPr>
                <w:rFonts w:hint="eastAsia" w:ascii="楷体_GB2312" w:hAnsi="Courier New" w:eastAsia="楷体_GB2312"/>
                <w:b/>
                <w:bCs/>
                <w:color w:val="000000" w:themeColor="text1"/>
                <w:w w:val="90"/>
                <w:highlight w:val="yellow"/>
              </w:rPr>
              <w:t>2009年江苏省修缮工程计价定额</w:t>
            </w:r>
            <w:r>
              <w:rPr>
                <w:rFonts w:hint="eastAsia" w:ascii="楷体_GB2312" w:hAnsi="Courier New" w:eastAsia="楷体_GB2312"/>
                <w:bCs/>
                <w:color w:val="000000" w:themeColor="text1"/>
                <w:w w:val="90"/>
              </w:rPr>
              <w:t>）</w:t>
            </w:r>
          </w:p>
          <w:p>
            <w:pPr>
              <w:rPr>
                <w:rFonts w:ascii="楷体_GB2312" w:hAnsi="宋体" w:eastAsia="楷体_GB2312"/>
                <w:color w:val="000000" w:themeColor="text1"/>
                <w:szCs w:val="21"/>
                <w:u w:val="single"/>
              </w:rPr>
            </w:pPr>
            <w:r>
              <w:rPr>
                <w:rFonts w:hint="eastAsia" w:ascii="楷体_GB2312" w:eastAsia="楷体_GB2312"/>
                <w:color w:val="000000" w:themeColor="text1"/>
                <w:szCs w:val="21"/>
              </w:rPr>
              <w:t>工程名称：</w:t>
            </w:r>
          </w:p>
          <w:tbl>
            <w:tblPr>
              <w:tblStyle w:val="60"/>
              <w:tblW w:w="8570" w:type="dxa"/>
              <w:tblInd w:w="0" w:type="dxa"/>
              <w:tblLayout w:type="autofit"/>
              <w:tblCellMar>
                <w:top w:w="0" w:type="dxa"/>
                <w:left w:w="0" w:type="dxa"/>
                <w:bottom w:w="0" w:type="dxa"/>
                <w:right w:w="0" w:type="dxa"/>
              </w:tblCellMar>
            </w:tblPr>
            <w:tblGrid>
              <w:gridCol w:w="57"/>
              <w:gridCol w:w="502"/>
              <w:gridCol w:w="801"/>
              <w:gridCol w:w="215"/>
              <w:gridCol w:w="671"/>
              <w:gridCol w:w="215"/>
              <w:gridCol w:w="214"/>
              <w:gridCol w:w="260"/>
              <w:gridCol w:w="947"/>
              <w:gridCol w:w="420"/>
              <w:gridCol w:w="215"/>
              <w:gridCol w:w="290"/>
              <w:gridCol w:w="215"/>
              <w:gridCol w:w="321"/>
              <w:gridCol w:w="522"/>
              <w:gridCol w:w="249"/>
              <w:gridCol w:w="283"/>
              <w:gridCol w:w="2048"/>
              <w:gridCol w:w="67"/>
            </w:tblGrid>
            <w:tr>
              <w:tblPrEx>
                <w:tblCellMar>
                  <w:top w:w="0" w:type="dxa"/>
                  <w:left w:w="0" w:type="dxa"/>
                  <w:bottom w:w="0" w:type="dxa"/>
                  <w:right w:w="0" w:type="dxa"/>
                </w:tblCellMar>
              </w:tblPrEx>
              <w:trPr>
                <w:gridAfter w:val="1"/>
                <w:wAfter w:w="68" w:type="dxa"/>
                <w:trHeight w:val="472" w:hRule="atLeast"/>
              </w:trPr>
              <w:tc>
                <w:tcPr>
                  <w:tcW w:w="564" w:type="dxa"/>
                  <w:gridSpan w:val="2"/>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Cs w:val="21"/>
                    </w:rPr>
                  </w:pPr>
                  <w:r>
                    <w:rPr>
                      <w:rFonts w:hint="eastAsia"/>
                      <w:bCs/>
                      <w:color w:val="000000" w:themeColor="text1"/>
                      <w:szCs w:val="21"/>
                    </w:rPr>
                    <w:t>序号</w:t>
                  </w:r>
                </w:p>
              </w:tc>
              <w:tc>
                <w:tcPr>
                  <w:tcW w:w="2391" w:type="dxa"/>
                  <w:gridSpan w:val="6"/>
                  <w:tcBorders>
                    <w:top w:val="single" w:color="auto" w:sz="8"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Cs w:val="21"/>
                    </w:rPr>
                  </w:pPr>
                  <w:r>
                    <w:rPr>
                      <w:rFonts w:hint="eastAsia"/>
                      <w:bCs/>
                      <w:color w:val="000000" w:themeColor="text1"/>
                      <w:szCs w:val="21"/>
                    </w:rPr>
                    <w:t>费用名称</w:t>
                  </w:r>
                </w:p>
              </w:tc>
              <w:tc>
                <w:tcPr>
                  <w:tcW w:w="3199" w:type="dxa"/>
                  <w:gridSpan w:val="8"/>
                  <w:tcBorders>
                    <w:top w:val="single" w:color="auto" w:sz="8"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Cs w:val="21"/>
                    </w:rPr>
                  </w:pPr>
                  <w:r>
                    <w:rPr>
                      <w:rFonts w:hint="eastAsia"/>
                      <w:bCs/>
                      <w:color w:val="000000" w:themeColor="text1"/>
                      <w:szCs w:val="21"/>
                    </w:rPr>
                    <w:t>计算公式</w:t>
                  </w:r>
                </w:p>
              </w:tc>
              <w:tc>
                <w:tcPr>
                  <w:tcW w:w="2348" w:type="dxa"/>
                  <w:gridSpan w:val="2"/>
                  <w:tcBorders>
                    <w:top w:val="single" w:color="auto" w:sz="8"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bCs/>
                      <w:color w:val="000000" w:themeColor="text1"/>
                      <w:szCs w:val="21"/>
                    </w:rPr>
                  </w:pPr>
                  <w:r>
                    <w:rPr>
                      <w:rFonts w:hint="eastAsia"/>
                      <w:bCs/>
                      <w:color w:val="000000" w:themeColor="text1"/>
                      <w:szCs w:val="21"/>
                    </w:rPr>
                    <w:t>备注</w:t>
                  </w:r>
                </w:p>
              </w:tc>
            </w:tr>
            <w:tr>
              <w:tblPrEx>
                <w:tblCellMar>
                  <w:top w:w="0" w:type="dxa"/>
                  <w:left w:w="0" w:type="dxa"/>
                  <w:bottom w:w="0" w:type="dxa"/>
                  <w:right w:w="0" w:type="dxa"/>
                </w:tblCellMar>
              </w:tblPrEx>
              <w:trPr>
                <w:gridBefore w:val="1"/>
                <w:wBefore w:w="58" w:type="dxa"/>
                <w:trHeight w:val="451" w:hRule="atLeast"/>
              </w:trPr>
              <w:tc>
                <w:tcPr>
                  <w:tcW w:w="506" w:type="dxa"/>
                  <w:vMerge w:val="restart"/>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ind w:left="-1020" w:leftChars="-425"/>
                    <w:jc w:val="center"/>
                    <w:rPr>
                      <w:rFonts w:ascii="宋体" w:hAnsi="宋体"/>
                      <w:color w:val="000000" w:themeColor="text1"/>
                      <w:szCs w:val="21"/>
                    </w:rPr>
                  </w:pPr>
                  <w:r>
                    <w:rPr>
                      <w:rFonts w:hint="eastAsia"/>
                      <w:color w:val="000000" w:themeColor="text1"/>
                      <w:szCs w:val="21"/>
                    </w:rPr>
                    <w:t>一</w:t>
                  </w: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分部分项费用</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工程量</w:t>
                  </w:r>
                  <w:r>
                    <w:rPr>
                      <w:color w:val="000000" w:themeColor="text1"/>
                      <w:szCs w:val="21"/>
                    </w:rPr>
                    <w:t>×</w:t>
                  </w:r>
                  <w:r>
                    <w:rPr>
                      <w:rFonts w:hint="eastAsia"/>
                      <w:color w:val="000000" w:themeColor="text1"/>
                      <w:szCs w:val="21"/>
                    </w:rPr>
                    <w:t>除税综合单价</w:t>
                  </w:r>
                </w:p>
              </w:tc>
              <w:tc>
                <w:tcPr>
                  <w:tcW w:w="2416" w:type="dxa"/>
                  <w:gridSpan w:val="3"/>
                  <w:vMerge w:val="restart"/>
                  <w:tcBorders>
                    <w:top w:val="nil"/>
                    <w:left w:val="nil"/>
                    <w:bottom w:val="single" w:color="auto" w:sz="4" w:space="0"/>
                    <w:right w:val="single" w:color="auto" w:sz="8" w:space="0"/>
                  </w:tcBorders>
                  <w:noWrap/>
                  <w:tcMar>
                    <w:top w:w="15" w:type="dxa"/>
                    <w:left w:w="15" w:type="dxa"/>
                    <w:bottom w:w="0" w:type="dxa"/>
                    <w:right w:w="15" w:type="dxa"/>
                  </w:tcMar>
                  <w:vAlign w:val="center"/>
                </w:tcPr>
                <w:p>
                  <w:pPr>
                    <w:rPr>
                      <w:rFonts w:ascii="宋体" w:hAnsi="宋体"/>
                      <w:b/>
                      <w:bCs/>
                      <w:color w:val="000000" w:themeColor="text1"/>
                      <w:szCs w:val="21"/>
                    </w:rPr>
                  </w:pPr>
                  <w:r>
                    <w:rPr>
                      <w:rFonts w:hint="eastAsia"/>
                      <w:color w:val="000000" w:themeColor="text1"/>
                      <w:szCs w:val="21"/>
                    </w:rPr>
                    <w:t>　</w:t>
                  </w:r>
                  <w:r>
                    <w:rPr>
                      <w:rFonts w:hint="eastAsia" w:ascii="宋体" w:hAnsi="宋体"/>
                      <w:b/>
                      <w:color w:val="000000" w:themeColor="text1"/>
                      <w:szCs w:val="21"/>
                      <w:highlight w:val="yellow"/>
                    </w:rPr>
                    <w:t>人工单价执行苏建函价〔2016〕570号,按《江苏省建设工程费用定额》（2014年）分类取费。费、税执行苏建价【2016】154号。</w:t>
                  </w:r>
                </w:p>
              </w:tc>
            </w:tr>
            <w:tr>
              <w:tblPrEx>
                <w:tblCellMar>
                  <w:top w:w="0" w:type="dxa"/>
                  <w:left w:w="0" w:type="dxa"/>
                  <w:bottom w:w="0" w:type="dxa"/>
                  <w:right w:w="0" w:type="dxa"/>
                </w:tblCellMar>
              </w:tblPrEx>
              <w:trPr>
                <w:gridBefore w:val="1"/>
                <w:wBefore w:w="58" w:type="dxa"/>
                <w:trHeight w:val="409" w:hRule="atLeast"/>
              </w:trPr>
              <w:tc>
                <w:tcPr>
                  <w:tcW w:w="50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b/>
                      <w:bCs/>
                      <w:color w:val="000000" w:themeColor="text1"/>
                      <w:szCs w:val="21"/>
                    </w:rPr>
                  </w:pP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color w:val="000000" w:themeColor="text1"/>
                      <w:szCs w:val="21"/>
                    </w:rPr>
                  </w:pPr>
                  <w:r>
                    <w:rPr>
                      <w:color w:val="000000" w:themeColor="text1"/>
                      <w:szCs w:val="21"/>
                    </w:rPr>
                    <w:t>1</w:t>
                  </w:r>
                  <w:r>
                    <w:rPr>
                      <w:rFonts w:hint="eastAsia"/>
                      <w:color w:val="000000" w:themeColor="text1"/>
                      <w:szCs w:val="21"/>
                    </w:rPr>
                    <w:t>、人工费</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计价表人工消耗量</w:t>
                  </w:r>
                  <w:r>
                    <w:rPr>
                      <w:color w:val="000000" w:themeColor="text1"/>
                      <w:szCs w:val="21"/>
                    </w:rPr>
                    <w:t>×</w:t>
                  </w:r>
                  <w:r>
                    <w:rPr>
                      <w:rFonts w:hint="eastAsia"/>
                      <w:color w:val="000000" w:themeColor="text1"/>
                      <w:szCs w:val="21"/>
                    </w:rPr>
                    <w:t>人工单价</w:t>
                  </w:r>
                </w:p>
              </w:tc>
              <w:tc>
                <w:tcPr>
                  <w:tcW w:w="2416" w:type="dxa"/>
                  <w:gridSpan w:val="3"/>
                  <w:vMerge w:val="continue"/>
                  <w:tcBorders>
                    <w:top w:val="nil"/>
                    <w:left w:val="nil"/>
                    <w:bottom w:val="single" w:color="auto" w:sz="4" w:space="0"/>
                    <w:right w:val="single" w:color="auto" w:sz="8" w:space="0"/>
                  </w:tcBorders>
                  <w:vAlign w:val="center"/>
                </w:tcPr>
                <w:p>
                  <w:pPr>
                    <w:widowControl/>
                    <w:jc w:val="left"/>
                    <w:rPr>
                      <w:rFonts w:ascii="宋体" w:hAnsi="宋体"/>
                      <w:b/>
                      <w:bCs/>
                      <w:color w:val="000000" w:themeColor="text1"/>
                      <w:szCs w:val="21"/>
                    </w:rPr>
                  </w:pPr>
                </w:p>
              </w:tc>
            </w:tr>
            <w:tr>
              <w:tblPrEx>
                <w:tblCellMar>
                  <w:top w:w="0" w:type="dxa"/>
                  <w:left w:w="0" w:type="dxa"/>
                  <w:bottom w:w="0" w:type="dxa"/>
                  <w:right w:w="0" w:type="dxa"/>
                </w:tblCellMar>
              </w:tblPrEx>
              <w:trPr>
                <w:gridBefore w:val="1"/>
                <w:wBefore w:w="58" w:type="dxa"/>
                <w:trHeight w:val="459" w:hRule="atLeast"/>
              </w:trPr>
              <w:tc>
                <w:tcPr>
                  <w:tcW w:w="50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b/>
                      <w:bCs/>
                      <w:color w:val="000000" w:themeColor="text1"/>
                      <w:szCs w:val="21"/>
                    </w:rPr>
                  </w:pP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2</w:t>
                  </w:r>
                  <w:r>
                    <w:rPr>
                      <w:rFonts w:hint="eastAsia"/>
                      <w:color w:val="000000" w:themeColor="text1"/>
                      <w:szCs w:val="21"/>
                    </w:rPr>
                    <w:t>、材料费</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计价表材料消耗量</w:t>
                  </w:r>
                  <w:r>
                    <w:rPr>
                      <w:color w:val="000000" w:themeColor="text1"/>
                      <w:szCs w:val="21"/>
                    </w:rPr>
                    <w:t>×</w:t>
                  </w:r>
                  <w:r>
                    <w:rPr>
                      <w:rFonts w:hint="eastAsia"/>
                      <w:color w:val="000000" w:themeColor="text1"/>
                      <w:szCs w:val="21"/>
                    </w:rPr>
                    <w:t>除税材料单价</w:t>
                  </w:r>
                </w:p>
              </w:tc>
              <w:tc>
                <w:tcPr>
                  <w:tcW w:w="2416" w:type="dxa"/>
                  <w:gridSpan w:val="3"/>
                  <w:vMerge w:val="continue"/>
                  <w:tcBorders>
                    <w:top w:val="nil"/>
                    <w:left w:val="nil"/>
                    <w:bottom w:val="single" w:color="auto" w:sz="4" w:space="0"/>
                    <w:right w:val="single" w:color="auto" w:sz="8" w:space="0"/>
                  </w:tcBorders>
                  <w:vAlign w:val="center"/>
                </w:tcPr>
                <w:p>
                  <w:pPr>
                    <w:widowControl/>
                    <w:jc w:val="left"/>
                    <w:rPr>
                      <w:rFonts w:ascii="宋体" w:hAnsi="宋体"/>
                      <w:b/>
                      <w:bCs/>
                      <w:color w:val="000000" w:themeColor="text1"/>
                      <w:szCs w:val="21"/>
                    </w:rPr>
                  </w:pPr>
                </w:p>
              </w:tc>
            </w:tr>
            <w:tr>
              <w:tblPrEx>
                <w:tblCellMar>
                  <w:top w:w="0" w:type="dxa"/>
                  <w:left w:w="0" w:type="dxa"/>
                  <w:bottom w:w="0" w:type="dxa"/>
                  <w:right w:w="0" w:type="dxa"/>
                </w:tblCellMar>
              </w:tblPrEx>
              <w:trPr>
                <w:gridBefore w:val="1"/>
                <w:wBefore w:w="58" w:type="dxa"/>
                <w:trHeight w:val="367" w:hRule="atLeast"/>
              </w:trPr>
              <w:tc>
                <w:tcPr>
                  <w:tcW w:w="50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b/>
                      <w:bCs/>
                      <w:color w:val="000000" w:themeColor="text1"/>
                      <w:szCs w:val="21"/>
                    </w:rPr>
                  </w:pP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3</w:t>
                  </w:r>
                  <w:r>
                    <w:rPr>
                      <w:rFonts w:hint="eastAsia"/>
                      <w:color w:val="000000" w:themeColor="text1"/>
                      <w:szCs w:val="21"/>
                    </w:rPr>
                    <w:t>、机械费</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计价表机械消耗量</w:t>
                  </w:r>
                  <w:r>
                    <w:rPr>
                      <w:color w:val="000000" w:themeColor="text1"/>
                      <w:szCs w:val="21"/>
                    </w:rPr>
                    <w:t>×</w:t>
                  </w:r>
                  <w:r>
                    <w:rPr>
                      <w:rFonts w:hint="eastAsia"/>
                      <w:color w:val="000000" w:themeColor="text1"/>
                      <w:szCs w:val="21"/>
                    </w:rPr>
                    <w:t>除税机械单价</w:t>
                  </w:r>
                </w:p>
              </w:tc>
              <w:tc>
                <w:tcPr>
                  <w:tcW w:w="2416" w:type="dxa"/>
                  <w:gridSpan w:val="3"/>
                  <w:vMerge w:val="continue"/>
                  <w:tcBorders>
                    <w:top w:val="nil"/>
                    <w:left w:val="nil"/>
                    <w:bottom w:val="single" w:color="auto" w:sz="4" w:space="0"/>
                    <w:right w:val="single" w:color="auto" w:sz="8" w:space="0"/>
                  </w:tcBorders>
                  <w:vAlign w:val="center"/>
                </w:tcPr>
                <w:p>
                  <w:pPr>
                    <w:widowControl/>
                    <w:jc w:val="left"/>
                    <w:rPr>
                      <w:rFonts w:ascii="宋体" w:hAnsi="宋体"/>
                      <w:b/>
                      <w:bCs/>
                      <w:color w:val="000000" w:themeColor="text1"/>
                      <w:szCs w:val="21"/>
                    </w:rPr>
                  </w:pPr>
                </w:p>
              </w:tc>
            </w:tr>
            <w:tr>
              <w:tblPrEx>
                <w:tblCellMar>
                  <w:top w:w="0" w:type="dxa"/>
                  <w:left w:w="0" w:type="dxa"/>
                  <w:bottom w:w="0" w:type="dxa"/>
                  <w:right w:w="0" w:type="dxa"/>
                </w:tblCellMar>
              </w:tblPrEx>
              <w:trPr>
                <w:gridBefore w:val="1"/>
                <w:wBefore w:w="58" w:type="dxa"/>
                <w:trHeight w:val="322" w:hRule="atLeast"/>
              </w:trPr>
              <w:tc>
                <w:tcPr>
                  <w:tcW w:w="50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b/>
                      <w:bCs/>
                      <w:color w:val="000000" w:themeColor="text1"/>
                      <w:szCs w:val="21"/>
                    </w:rPr>
                  </w:pP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4</w:t>
                  </w:r>
                  <w:r>
                    <w:rPr>
                      <w:rFonts w:hint="eastAsia"/>
                      <w:color w:val="000000" w:themeColor="text1"/>
                      <w:szCs w:val="21"/>
                    </w:rPr>
                    <w:t>、企业管理费</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color w:val="000000" w:themeColor="text1"/>
                      <w:szCs w:val="21"/>
                    </w:rPr>
                    <w:t>（</w:t>
                  </w:r>
                  <w:r>
                    <w:rPr>
                      <w:color w:val="000000" w:themeColor="text1"/>
                      <w:szCs w:val="21"/>
                    </w:rPr>
                    <w:t>1+3</w:t>
                  </w:r>
                  <w:r>
                    <w:rPr>
                      <w:rFonts w:hint="eastAsia"/>
                      <w:color w:val="000000" w:themeColor="text1"/>
                      <w:szCs w:val="21"/>
                    </w:rPr>
                    <w:t>）</w:t>
                  </w:r>
                  <w:r>
                    <w:rPr>
                      <w:color w:val="000000" w:themeColor="text1"/>
                      <w:szCs w:val="21"/>
                    </w:rPr>
                    <w:t>×</w:t>
                  </w:r>
                  <w:r>
                    <w:rPr>
                      <w:rFonts w:hint="eastAsia"/>
                      <w:color w:val="000000" w:themeColor="text1"/>
                      <w:szCs w:val="21"/>
                    </w:rPr>
                    <w:t>管理费率</w:t>
                  </w:r>
                </w:p>
              </w:tc>
              <w:tc>
                <w:tcPr>
                  <w:tcW w:w="2416" w:type="dxa"/>
                  <w:gridSpan w:val="3"/>
                  <w:vMerge w:val="continue"/>
                  <w:tcBorders>
                    <w:top w:val="nil"/>
                    <w:left w:val="nil"/>
                    <w:bottom w:val="single" w:color="auto" w:sz="4" w:space="0"/>
                    <w:right w:val="single" w:color="auto" w:sz="8" w:space="0"/>
                  </w:tcBorders>
                  <w:vAlign w:val="center"/>
                </w:tcPr>
                <w:p>
                  <w:pPr>
                    <w:widowControl/>
                    <w:jc w:val="left"/>
                    <w:rPr>
                      <w:rFonts w:ascii="宋体" w:hAnsi="宋体"/>
                      <w:b/>
                      <w:bCs/>
                      <w:color w:val="000000" w:themeColor="text1"/>
                      <w:szCs w:val="21"/>
                    </w:rPr>
                  </w:pPr>
                </w:p>
              </w:tc>
            </w:tr>
            <w:tr>
              <w:tblPrEx>
                <w:tblCellMar>
                  <w:top w:w="0" w:type="dxa"/>
                  <w:left w:w="0" w:type="dxa"/>
                  <w:bottom w:w="0" w:type="dxa"/>
                  <w:right w:w="0" w:type="dxa"/>
                </w:tblCellMar>
              </w:tblPrEx>
              <w:trPr>
                <w:gridBefore w:val="1"/>
                <w:wBefore w:w="58" w:type="dxa"/>
                <w:trHeight w:val="742" w:hRule="atLeast"/>
              </w:trPr>
              <w:tc>
                <w:tcPr>
                  <w:tcW w:w="50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b/>
                      <w:bCs/>
                      <w:color w:val="000000" w:themeColor="text1"/>
                      <w:szCs w:val="21"/>
                    </w:rPr>
                  </w:pP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color w:val="000000" w:themeColor="text1"/>
                      <w:szCs w:val="21"/>
                    </w:rPr>
                    <w:t>5</w:t>
                  </w:r>
                  <w:r>
                    <w:rPr>
                      <w:rFonts w:hint="eastAsia"/>
                      <w:color w:val="000000" w:themeColor="text1"/>
                      <w:szCs w:val="21"/>
                    </w:rPr>
                    <w:t>、利   润</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w:t>
                  </w:r>
                  <w:r>
                    <w:rPr>
                      <w:color w:val="000000" w:themeColor="text1"/>
                      <w:szCs w:val="21"/>
                    </w:rPr>
                    <w:t>1+3</w:t>
                  </w:r>
                  <w:r>
                    <w:rPr>
                      <w:rFonts w:hint="eastAsia"/>
                      <w:color w:val="000000" w:themeColor="text1"/>
                      <w:szCs w:val="21"/>
                    </w:rPr>
                    <w:t>）</w:t>
                  </w:r>
                  <w:r>
                    <w:rPr>
                      <w:color w:val="000000" w:themeColor="text1"/>
                      <w:szCs w:val="21"/>
                    </w:rPr>
                    <w:t>×</w:t>
                  </w:r>
                  <w:r>
                    <w:rPr>
                      <w:rFonts w:hint="eastAsia"/>
                      <w:color w:val="000000" w:themeColor="text1"/>
                      <w:szCs w:val="21"/>
                    </w:rPr>
                    <w:t>利润率</w:t>
                  </w:r>
                </w:p>
              </w:tc>
              <w:tc>
                <w:tcPr>
                  <w:tcW w:w="2416" w:type="dxa"/>
                  <w:gridSpan w:val="3"/>
                  <w:vMerge w:val="continue"/>
                  <w:tcBorders>
                    <w:top w:val="nil"/>
                    <w:left w:val="nil"/>
                    <w:bottom w:val="single" w:color="auto" w:sz="4" w:space="0"/>
                    <w:right w:val="single" w:color="auto" w:sz="8" w:space="0"/>
                  </w:tcBorders>
                  <w:vAlign w:val="center"/>
                </w:tcPr>
                <w:p>
                  <w:pPr>
                    <w:widowControl/>
                    <w:jc w:val="left"/>
                    <w:rPr>
                      <w:rFonts w:ascii="宋体" w:hAnsi="宋体"/>
                      <w:b/>
                      <w:bCs/>
                      <w:color w:val="000000" w:themeColor="text1"/>
                      <w:szCs w:val="21"/>
                    </w:rPr>
                  </w:pPr>
                </w:p>
              </w:tc>
            </w:tr>
            <w:tr>
              <w:tblPrEx>
                <w:tblCellMar>
                  <w:top w:w="0" w:type="dxa"/>
                  <w:left w:w="0" w:type="dxa"/>
                  <w:bottom w:w="0" w:type="dxa"/>
                  <w:right w:w="0" w:type="dxa"/>
                </w:tblCellMar>
              </w:tblPrEx>
              <w:trPr>
                <w:gridBefore w:val="1"/>
                <w:wBefore w:w="58" w:type="dxa"/>
                <w:trHeight w:val="898" w:hRule="atLeast"/>
              </w:trPr>
              <w:tc>
                <w:tcPr>
                  <w:tcW w:w="506" w:type="dxa"/>
                  <w:tcBorders>
                    <w:top w:val="nil"/>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二</w:t>
                  </w: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color w:val="000000" w:themeColor="text1"/>
                      <w:szCs w:val="21"/>
                    </w:rPr>
                    <w:t>措施项目清单费用</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color w:val="000000" w:themeColor="text1"/>
                      <w:szCs w:val="21"/>
                    </w:rPr>
                    <w:t>(</w:t>
                  </w:r>
                  <w:r>
                    <w:rPr>
                      <w:rFonts w:hint="eastAsia"/>
                      <w:color w:val="000000" w:themeColor="text1"/>
                      <w:szCs w:val="21"/>
                    </w:rPr>
                    <w:t>分部分项工程费用</w:t>
                  </w:r>
                  <w:r>
                    <w:rPr>
                      <w:color w:val="000000" w:themeColor="text1"/>
                      <w:szCs w:val="21"/>
                    </w:rPr>
                    <w:t>+</w:t>
                  </w:r>
                  <w:r>
                    <w:rPr>
                      <w:rFonts w:hint="eastAsia"/>
                      <w:color w:val="000000" w:themeColor="text1"/>
                      <w:szCs w:val="21"/>
                    </w:rPr>
                    <w:t>单价措施项目费</w:t>
                  </w:r>
                  <w:r>
                    <w:rPr>
                      <w:color w:val="000000" w:themeColor="text1"/>
                      <w:szCs w:val="21"/>
                    </w:rPr>
                    <w:t>-</w:t>
                  </w:r>
                  <w:r>
                    <w:rPr>
                      <w:rFonts w:hint="eastAsia"/>
                      <w:color w:val="000000" w:themeColor="text1"/>
                      <w:szCs w:val="21"/>
                    </w:rPr>
                    <w:t>除税工程设备费</w:t>
                  </w:r>
                  <w:r>
                    <w:rPr>
                      <w:color w:val="000000" w:themeColor="text1"/>
                      <w:szCs w:val="21"/>
                    </w:rPr>
                    <w:t>)×</w:t>
                  </w:r>
                  <w:r>
                    <w:rPr>
                      <w:rFonts w:hint="eastAsia"/>
                      <w:color w:val="000000" w:themeColor="text1"/>
                      <w:szCs w:val="21"/>
                    </w:rPr>
                    <w:t>费率或工程量</w:t>
                  </w:r>
                  <w:r>
                    <w:rPr>
                      <w:color w:val="000000" w:themeColor="text1"/>
                      <w:szCs w:val="21"/>
                    </w:rPr>
                    <w:t>×</w:t>
                  </w:r>
                  <w:r>
                    <w:rPr>
                      <w:rFonts w:hint="eastAsia"/>
                      <w:color w:val="000000" w:themeColor="text1"/>
                      <w:szCs w:val="21"/>
                    </w:rPr>
                    <w:t>除税综合单价</w:t>
                  </w:r>
                </w:p>
              </w:tc>
              <w:tc>
                <w:tcPr>
                  <w:tcW w:w="2416" w:type="dxa"/>
                  <w:gridSpan w:val="3"/>
                  <w:tcBorders>
                    <w:top w:val="nil"/>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color w:val="000000" w:themeColor="text1"/>
                      <w:szCs w:val="21"/>
                    </w:rPr>
                    <w:t>　</w:t>
                  </w:r>
                </w:p>
              </w:tc>
            </w:tr>
            <w:tr>
              <w:tblPrEx>
                <w:tblCellMar>
                  <w:top w:w="0" w:type="dxa"/>
                  <w:left w:w="0" w:type="dxa"/>
                  <w:bottom w:w="0" w:type="dxa"/>
                  <w:right w:w="0" w:type="dxa"/>
                </w:tblCellMar>
              </w:tblPrEx>
              <w:trPr>
                <w:gridBefore w:val="1"/>
                <w:wBefore w:w="58" w:type="dxa"/>
                <w:trHeight w:val="360" w:hRule="atLeast"/>
              </w:trPr>
              <w:tc>
                <w:tcPr>
                  <w:tcW w:w="506"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三</w:t>
                  </w: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color w:val="000000" w:themeColor="text1"/>
                      <w:szCs w:val="21"/>
                    </w:rPr>
                    <w:t>其他项目费用</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b/>
                      <w:bCs/>
                      <w:color w:val="000000" w:themeColor="text1"/>
                      <w:szCs w:val="21"/>
                    </w:rPr>
                  </w:pPr>
                </w:p>
              </w:tc>
              <w:tc>
                <w:tcPr>
                  <w:tcW w:w="2416" w:type="dxa"/>
                  <w:gridSpan w:val="3"/>
                  <w:tcBorders>
                    <w:top w:val="nil"/>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rPr>
                      <w:rFonts w:ascii="宋体" w:hAnsi="宋体"/>
                      <w:b/>
                      <w:bCs/>
                      <w:color w:val="000000" w:themeColor="text1"/>
                      <w:szCs w:val="21"/>
                    </w:rPr>
                  </w:pPr>
                </w:p>
              </w:tc>
            </w:tr>
            <w:tr>
              <w:tblPrEx>
                <w:tblCellMar>
                  <w:top w:w="0" w:type="dxa"/>
                  <w:left w:w="0" w:type="dxa"/>
                  <w:bottom w:w="0" w:type="dxa"/>
                  <w:right w:w="0" w:type="dxa"/>
                </w:tblCellMar>
              </w:tblPrEx>
              <w:trPr>
                <w:gridBefore w:val="1"/>
                <w:wBefore w:w="58" w:type="dxa"/>
                <w:trHeight w:val="803" w:hRule="atLeast"/>
              </w:trPr>
              <w:tc>
                <w:tcPr>
                  <w:tcW w:w="506" w:type="dxa"/>
                  <w:tcBorders>
                    <w:top w:val="single" w:color="auto" w:sz="4"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ascii="宋体" w:hAnsi="宋体"/>
                      <w:color w:val="000000" w:themeColor="text1"/>
                      <w:szCs w:val="21"/>
                    </w:rPr>
                    <w:t>四</w:t>
                  </w:r>
                </w:p>
              </w:tc>
              <w:tc>
                <w:tcPr>
                  <w:tcW w:w="2391"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left"/>
                    <w:rPr>
                      <w:rFonts w:ascii="宋体" w:hAnsi="宋体"/>
                      <w:color w:val="000000" w:themeColor="text1"/>
                      <w:szCs w:val="21"/>
                    </w:rPr>
                  </w:pPr>
                  <w:r>
                    <w:rPr>
                      <w:rFonts w:hint="eastAsia"/>
                      <w:color w:val="000000" w:themeColor="text1"/>
                      <w:szCs w:val="21"/>
                    </w:rPr>
                    <w:t>综合降点</w:t>
                  </w:r>
                </w:p>
              </w:tc>
              <w:tc>
                <w:tcPr>
                  <w:tcW w:w="3199" w:type="dxa"/>
                  <w:gridSpan w:val="8"/>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b/>
                      <w:color w:val="000000" w:themeColor="text1"/>
                      <w:szCs w:val="21"/>
                    </w:rPr>
                  </w:pPr>
                  <w:r>
                    <w:rPr>
                      <w:rFonts w:hint="eastAsia" w:ascii="宋体" w:hAnsi="宋体"/>
                      <w:b/>
                      <w:color w:val="000000" w:themeColor="text1"/>
                      <w:szCs w:val="21"/>
                      <w:highlight w:val="yellow"/>
                    </w:rPr>
                    <w:t>（一+二+三-(</w:t>
                  </w:r>
                  <w:r>
                    <w:rPr>
                      <w:rFonts w:hint="eastAsia"/>
                      <w:b/>
                      <w:color w:val="000000" w:themeColor="text1"/>
                      <w:szCs w:val="21"/>
                      <w:highlight w:val="yellow"/>
                    </w:rPr>
                    <w:t>除税甲供材料费</w:t>
                  </w:r>
                  <w:r>
                    <w:rPr>
                      <w:rFonts w:hint="eastAsia" w:ascii="宋体" w:hAnsi="宋体"/>
                      <w:b/>
                      <w:color w:val="000000" w:themeColor="text1"/>
                      <w:szCs w:val="21"/>
                      <w:highlight w:val="yellow"/>
                    </w:rPr>
                    <w:t>+</w:t>
                  </w:r>
                  <w:r>
                    <w:rPr>
                      <w:rFonts w:hint="eastAsia"/>
                      <w:b/>
                      <w:color w:val="000000" w:themeColor="text1"/>
                      <w:szCs w:val="21"/>
                      <w:highlight w:val="yellow"/>
                    </w:rPr>
                    <w:t>除税工程设备费</w:t>
                  </w:r>
                  <w:r>
                    <w:rPr>
                      <w:rFonts w:hint="eastAsia" w:ascii="宋体" w:hAnsi="宋体"/>
                      <w:b/>
                      <w:color w:val="000000" w:themeColor="text1"/>
                      <w:szCs w:val="21"/>
                      <w:highlight w:val="yellow"/>
                    </w:rPr>
                    <w:t>)）</w:t>
                  </w:r>
                  <w:r>
                    <w:rPr>
                      <w:b/>
                      <w:color w:val="000000" w:themeColor="text1"/>
                      <w:szCs w:val="21"/>
                      <w:highlight w:val="yellow"/>
                    </w:rPr>
                    <w:t>×</w:t>
                  </w:r>
                  <w:r>
                    <w:rPr>
                      <w:rFonts w:hint="eastAsia"/>
                      <w:b/>
                      <w:color w:val="000000" w:themeColor="text1"/>
                      <w:szCs w:val="21"/>
                      <w:highlight w:val="yellow"/>
                    </w:rPr>
                    <w:t>综合降点率</w:t>
                  </w:r>
                </w:p>
              </w:tc>
              <w:tc>
                <w:tcPr>
                  <w:tcW w:w="2416" w:type="dxa"/>
                  <w:gridSpan w:val="3"/>
                  <w:tcBorders>
                    <w:top w:val="single" w:color="auto" w:sz="4"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b/>
                      <w:color w:val="000000" w:themeColor="text1"/>
                      <w:szCs w:val="21"/>
                    </w:rPr>
                  </w:pPr>
                  <w:r>
                    <w:rPr>
                      <w:rFonts w:hint="eastAsia"/>
                      <w:b/>
                      <w:color w:val="000000" w:themeColor="text1"/>
                      <w:szCs w:val="21"/>
                    </w:rPr>
                    <w:t>（</w:t>
                  </w:r>
                  <w:r>
                    <w:rPr>
                      <w:rFonts w:hint="eastAsia"/>
                      <w:b/>
                      <w:color w:val="000000" w:themeColor="text1"/>
                      <w:szCs w:val="21"/>
                      <w:u w:val="single"/>
                    </w:rPr>
                    <w:t xml:space="preserve">   A   </w:t>
                  </w:r>
                  <w:r>
                    <w:rPr>
                      <w:b/>
                      <w:color w:val="000000" w:themeColor="text1"/>
                      <w:szCs w:val="21"/>
                    </w:rPr>
                    <w:t>%</w:t>
                  </w:r>
                  <w:r>
                    <w:rPr>
                      <w:rFonts w:hint="eastAsia"/>
                      <w:b/>
                      <w:color w:val="000000" w:themeColor="text1"/>
                      <w:szCs w:val="21"/>
                    </w:rPr>
                    <w:t>）</w:t>
                  </w:r>
                </w:p>
              </w:tc>
            </w:tr>
            <w:tr>
              <w:tblPrEx>
                <w:tblCellMar>
                  <w:top w:w="0" w:type="dxa"/>
                  <w:left w:w="0" w:type="dxa"/>
                  <w:bottom w:w="0" w:type="dxa"/>
                  <w:right w:w="0" w:type="dxa"/>
                </w:tblCellMar>
              </w:tblPrEx>
              <w:trPr>
                <w:gridBefore w:val="1"/>
                <w:wBefore w:w="58" w:type="dxa"/>
                <w:trHeight w:val="315" w:hRule="atLeast"/>
              </w:trPr>
              <w:tc>
                <w:tcPr>
                  <w:tcW w:w="506" w:type="dxa"/>
                  <w:vMerge w:val="restart"/>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五</w:t>
                  </w:r>
                </w:p>
              </w:tc>
              <w:tc>
                <w:tcPr>
                  <w:tcW w:w="2391" w:type="dxa"/>
                  <w:gridSpan w:val="6"/>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ascii="宋体" w:hAnsi="宋体"/>
                      <w:color w:val="000000" w:themeColor="text1"/>
                      <w:szCs w:val="21"/>
                    </w:rPr>
                    <w:t>规    费</w:t>
                  </w:r>
                </w:p>
              </w:tc>
              <w:tc>
                <w:tcPr>
                  <w:tcW w:w="3199" w:type="dxa"/>
                  <w:gridSpan w:val="8"/>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p>
              </w:tc>
              <w:tc>
                <w:tcPr>
                  <w:tcW w:w="2416" w:type="dxa"/>
                  <w:gridSpan w:val="3"/>
                  <w:tcBorders>
                    <w:top w:val="nil"/>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p>
              </w:tc>
            </w:tr>
            <w:tr>
              <w:tblPrEx>
                <w:tblCellMar>
                  <w:top w:w="0" w:type="dxa"/>
                  <w:left w:w="0" w:type="dxa"/>
                  <w:bottom w:w="0" w:type="dxa"/>
                  <w:right w:w="0" w:type="dxa"/>
                </w:tblCellMar>
              </w:tblPrEx>
              <w:trPr>
                <w:gridBefore w:val="1"/>
                <w:wBefore w:w="58" w:type="dxa"/>
                <w:trHeight w:val="404" w:hRule="atLeast"/>
              </w:trPr>
              <w:tc>
                <w:tcPr>
                  <w:tcW w:w="506"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2391"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1、工程排污费</w:t>
                  </w:r>
                </w:p>
              </w:tc>
              <w:tc>
                <w:tcPr>
                  <w:tcW w:w="3199" w:type="dxa"/>
                  <w:gridSpan w:val="8"/>
                  <w:vMerge w:val="restart"/>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ascii="宋体" w:hAnsi="宋体"/>
                      <w:color w:val="000000" w:themeColor="text1"/>
                      <w:szCs w:val="21"/>
                    </w:rPr>
                    <w:t>（一+二+三-四</w:t>
                  </w:r>
                  <w:r>
                    <w:rPr>
                      <w:color w:val="000000" w:themeColor="text1"/>
                      <w:szCs w:val="21"/>
                    </w:rPr>
                    <w:t>-</w:t>
                  </w:r>
                  <w:r>
                    <w:rPr>
                      <w:rFonts w:hint="eastAsia"/>
                      <w:color w:val="000000" w:themeColor="text1"/>
                      <w:szCs w:val="21"/>
                    </w:rPr>
                    <w:t>除税工程设备费</w:t>
                  </w:r>
                  <w:r>
                    <w:rPr>
                      <w:rFonts w:hint="eastAsia" w:ascii="宋体" w:hAnsi="宋体"/>
                      <w:color w:val="000000" w:themeColor="text1"/>
                      <w:szCs w:val="21"/>
                    </w:rPr>
                    <w:t>）</w:t>
                  </w:r>
                  <w:r>
                    <w:rPr>
                      <w:color w:val="000000" w:themeColor="text1"/>
                      <w:szCs w:val="21"/>
                    </w:rPr>
                    <w:t>×</w:t>
                  </w:r>
                  <w:r>
                    <w:rPr>
                      <w:rFonts w:hint="eastAsia"/>
                      <w:color w:val="000000" w:themeColor="text1"/>
                      <w:szCs w:val="21"/>
                    </w:rPr>
                    <w:t>费率</w:t>
                  </w:r>
                </w:p>
              </w:tc>
              <w:tc>
                <w:tcPr>
                  <w:tcW w:w="2416" w:type="dxa"/>
                  <w:gridSpan w:val="3"/>
                  <w:vMerge w:val="restart"/>
                  <w:tcBorders>
                    <w:top w:val="single" w:color="auto" w:sz="4"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ascii="宋体" w:hAnsi="宋体"/>
                      <w:color w:val="000000" w:themeColor="text1"/>
                      <w:szCs w:val="21"/>
                    </w:rPr>
                    <w:t>按规定计取</w:t>
                  </w:r>
                </w:p>
              </w:tc>
            </w:tr>
            <w:tr>
              <w:tblPrEx>
                <w:tblCellMar>
                  <w:top w:w="0" w:type="dxa"/>
                  <w:left w:w="0" w:type="dxa"/>
                  <w:bottom w:w="0" w:type="dxa"/>
                  <w:right w:w="0" w:type="dxa"/>
                </w:tblCellMar>
              </w:tblPrEx>
              <w:trPr>
                <w:gridBefore w:val="1"/>
                <w:wBefore w:w="58" w:type="dxa"/>
                <w:trHeight w:val="255" w:hRule="atLeast"/>
              </w:trPr>
              <w:tc>
                <w:tcPr>
                  <w:tcW w:w="506"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2391"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2、建筑安全监督管理费</w:t>
                  </w:r>
                </w:p>
              </w:tc>
              <w:tc>
                <w:tcPr>
                  <w:tcW w:w="3199" w:type="dxa"/>
                  <w:gridSpan w:val="8"/>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rPr>
                  </w:pPr>
                </w:p>
              </w:tc>
              <w:tc>
                <w:tcPr>
                  <w:tcW w:w="2416" w:type="dxa"/>
                  <w:gridSpan w:val="3"/>
                  <w:vMerge w:val="continue"/>
                  <w:tcBorders>
                    <w:top w:val="single" w:color="auto" w:sz="4" w:space="0"/>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gridBefore w:val="1"/>
                <w:wBefore w:w="58" w:type="dxa"/>
                <w:trHeight w:val="375" w:hRule="atLeast"/>
              </w:trPr>
              <w:tc>
                <w:tcPr>
                  <w:tcW w:w="506"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2391"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3、社会保障费</w:t>
                  </w:r>
                </w:p>
              </w:tc>
              <w:tc>
                <w:tcPr>
                  <w:tcW w:w="3199" w:type="dxa"/>
                  <w:gridSpan w:val="8"/>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rPr>
                  </w:pPr>
                </w:p>
              </w:tc>
              <w:tc>
                <w:tcPr>
                  <w:tcW w:w="2416" w:type="dxa"/>
                  <w:gridSpan w:val="3"/>
                  <w:vMerge w:val="continue"/>
                  <w:tcBorders>
                    <w:top w:val="single" w:color="auto" w:sz="4" w:space="0"/>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gridBefore w:val="1"/>
                <w:wBefore w:w="58" w:type="dxa"/>
                <w:trHeight w:val="146" w:hRule="atLeast"/>
              </w:trPr>
              <w:tc>
                <w:tcPr>
                  <w:tcW w:w="506"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olor w:val="000000" w:themeColor="text1"/>
                      <w:szCs w:val="21"/>
                    </w:rPr>
                  </w:pPr>
                </w:p>
              </w:tc>
              <w:tc>
                <w:tcPr>
                  <w:tcW w:w="2391"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ascii="宋体" w:hAnsi="宋体"/>
                      <w:color w:val="000000" w:themeColor="text1"/>
                      <w:szCs w:val="21"/>
                    </w:rPr>
                    <w:t>4、住房公积金</w:t>
                  </w:r>
                </w:p>
              </w:tc>
              <w:tc>
                <w:tcPr>
                  <w:tcW w:w="3199" w:type="dxa"/>
                  <w:gridSpan w:val="8"/>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rPr>
                  </w:pPr>
                </w:p>
              </w:tc>
              <w:tc>
                <w:tcPr>
                  <w:tcW w:w="2416" w:type="dxa"/>
                  <w:gridSpan w:val="3"/>
                  <w:vMerge w:val="continue"/>
                  <w:tcBorders>
                    <w:top w:val="single" w:color="auto" w:sz="4" w:space="0"/>
                    <w:left w:val="nil"/>
                    <w:bottom w:val="single" w:color="auto" w:sz="4" w:space="0"/>
                    <w:right w:val="single" w:color="auto" w:sz="8" w:space="0"/>
                  </w:tcBorders>
                  <w:vAlign w:val="center"/>
                </w:tcPr>
                <w:p>
                  <w:pPr>
                    <w:widowControl/>
                    <w:jc w:val="left"/>
                    <w:rPr>
                      <w:rFonts w:ascii="宋体" w:hAnsi="宋体"/>
                      <w:color w:val="000000" w:themeColor="text1"/>
                      <w:szCs w:val="21"/>
                    </w:rPr>
                  </w:pPr>
                </w:p>
              </w:tc>
            </w:tr>
            <w:tr>
              <w:tblPrEx>
                <w:tblCellMar>
                  <w:top w:w="0" w:type="dxa"/>
                  <w:left w:w="0" w:type="dxa"/>
                  <w:bottom w:w="0" w:type="dxa"/>
                  <w:right w:w="0" w:type="dxa"/>
                </w:tblCellMar>
              </w:tblPrEx>
              <w:trPr>
                <w:gridBefore w:val="1"/>
                <w:wBefore w:w="58" w:type="dxa"/>
                <w:trHeight w:val="495" w:hRule="atLeast"/>
              </w:trPr>
              <w:tc>
                <w:tcPr>
                  <w:tcW w:w="506" w:type="dxa"/>
                  <w:tcBorders>
                    <w:top w:val="single" w:color="auto" w:sz="4"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六</w:t>
                  </w:r>
                </w:p>
              </w:tc>
              <w:tc>
                <w:tcPr>
                  <w:tcW w:w="2391"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税     金</w:t>
                  </w:r>
                </w:p>
              </w:tc>
              <w:tc>
                <w:tcPr>
                  <w:tcW w:w="3199" w:type="dxa"/>
                  <w:gridSpan w:val="8"/>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ascii="宋体" w:hAnsi="宋体"/>
                      <w:color w:val="000000" w:themeColor="text1"/>
                      <w:szCs w:val="21"/>
                    </w:rPr>
                    <w:t>［一+二+三-四+五-(</w:t>
                  </w:r>
                  <w:r>
                    <w:rPr>
                      <w:rFonts w:hint="eastAsia"/>
                      <w:color w:val="000000" w:themeColor="text1"/>
                      <w:szCs w:val="21"/>
                    </w:rPr>
                    <w:t>除税甲供材料费</w:t>
                  </w:r>
                  <w:r>
                    <w:rPr>
                      <w:rFonts w:hint="eastAsia" w:ascii="宋体" w:hAnsi="宋体"/>
                      <w:color w:val="000000" w:themeColor="text1"/>
                      <w:szCs w:val="21"/>
                    </w:rPr>
                    <w:t>+</w:t>
                  </w:r>
                  <w:r>
                    <w:rPr>
                      <w:rFonts w:hint="eastAsia"/>
                      <w:color w:val="000000" w:themeColor="text1"/>
                      <w:szCs w:val="21"/>
                    </w:rPr>
                    <w:t>除税工程设备费</w:t>
                  </w:r>
                  <w:r>
                    <w:rPr>
                      <w:rFonts w:hint="eastAsia" w:ascii="宋体" w:hAnsi="宋体"/>
                      <w:color w:val="000000" w:themeColor="text1"/>
                      <w:szCs w:val="21"/>
                    </w:rPr>
                    <w:t>)/1.01］</w:t>
                  </w:r>
                  <w:r>
                    <w:rPr>
                      <w:color w:val="000000" w:themeColor="text1"/>
                      <w:szCs w:val="21"/>
                    </w:rPr>
                    <w:t>×</w:t>
                  </w:r>
                  <w:r>
                    <w:rPr>
                      <w:rFonts w:hint="eastAsia"/>
                      <w:color w:val="000000" w:themeColor="text1"/>
                      <w:szCs w:val="21"/>
                    </w:rPr>
                    <w:t>9</w:t>
                  </w:r>
                  <w:r>
                    <w:rPr>
                      <w:color w:val="000000" w:themeColor="text1"/>
                      <w:szCs w:val="21"/>
                    </w:rPr>
                    <w:t>%</w:t>
                  </w:r>
                </w:p>
              </w:tc>
              <w:tc>
                <w:tcPr>
                  <w:tcW w:w="2416" w:type="dxa"/>
                  <w:gridSpan w:val="3"/>
                  <w:tcBorders>
                    <w:top w:val="single" w:color="auto" w:sz="4" w:space="0"/>
                    <w:left w:val="nil"/>
                    <w:bottom w:val="single" w:color="auto" w:sz="4"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ascii="宋体" w:hAnsi="宋体"/>
                      <w:color w:val="000000" w:themeColor="text1"/>
                      <w:szCs w:val="21"/>
                    </w:rPr>
                    <w:t>一般计税方法</w:t>
                  </w:r>
                </w:p>
              </w:tc>
            </w:tr>
            <w:tr>
              <w:tblPrEx>
                <w:tblCellMar>
                  <w:top w:w="0" w:type="dxa"/>
                  <w:left w:w="0" w:type="dxa"/>
                  <w:bottom w:w="0" w:type="dxa"/>
                  <w:right w:w="0" w:type="dxa"/>
                </w:tblCellMar>
              </w:tblPrEx>
              <w:trPr>
                <w:gridBefore w:val="1"/>
                <w:wBefore w:w="58" w:type="dxa"/>
                <w:trHeight w:val="101" w:hRule="atLeast"/>
              </w:trPr>
              <w:tc>
                <w:tcPr>
                  <w:tcW w:w="506"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七</w:t>
                  </w:r>
                </w:p>
              </w:tc>
              <w:tc>
                <w:tcPr>
                  <w:tcW w:w="2391" w:type="dxa"/>
                  <w:gridSpan w:val="6"/>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rFonts w:ascii="宋体" w:hAnsi="宋体"/>
                      <w:color w:val="000000" w:themeColor="text1"/>
                      <w:szCs w:val="21"/>
                    </w:rPr>
                  </w:pPr>
                  <w:r>
                    <w:rPr>
                      <w:rFonts w:hint="eastAsia"/>
                      <w:color w:val="000000" w:themeColor="text1"/>
                      <w:szCs w:val="21"/>
                    </w:rPr>
                    <w:t>工程造价</w:t>
                  </w:r>
                </w:p>
              </w:tc>
              <w:tc>
                <w:tcPr>
                  <w:tcW w:w="3199" w:type="dxa"/>
                  <w:gridSpan w:val="8"/>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jc w:val="center"/>
                    <w:rPr>
                      <w:color w:val="000000" w:themeColor="text1"/>
                      <w:szCs w:val="21"/>
                    </w:rPr>
                  </w:pPr>
                  <w:r>
                    <w:rPr>
                      <w:rFonts w:hint="eastAsia" w:ascii="宋体" w:hAnsi="宋体"/>
                      <w:color w:val="000000" w:themeColor="text1"/>
                      <w:szCs w:val="21"/>
                    </w:rPr>
                    <w:t>一+二+三-四+五-(</w:t>
                  </w:r>
                  <w:r>
                    <w:rPr>
                      <w:rFonts w:hint="eastAsia"/>
                      <w:color w:val="000000" w:themeColor="text1"/>
                      <w:szCs w:val="21"/>
                    </w:rPr>
                    <w:t>除税甲供材料费</w:t>
                  </w:r>
                  <w:r>
                    <w:rPr>
                      <w:rFonts w:hint="eastAsia" w:ascii="宋体" w:hAnsi="宋体"/>
                      <w:color w:val="000000" w:themeColor="text1"/>
                      <w:szCs w:val="21"/>
                    </w:rPr>
                    <w:t>+</w:t>
                  </w:r>
                  <w:r>
                    <w:rPr>
                      <w:rFonts w:hint="eastAsia"/>
                      <w:color w:val="000000" w:themeColor="text1"/>
                      <w:szCs w:val="21"/>
                    </w:rPr>
                    <w:t>除税甲供设备费</w:t>
                  </w:r>
                  <w:r>
                    <w:rPr>
                      <w:rFonts w:hint="eastAsia" w:ascii="宋体" w:hAnsi="宋体"/>
                      <w:color w:val="000000" w:themeColor="text1"/>
                      <w:szCs w:val="21"/>
                    </w:rPr>
                    <w:t>)/1.01+六</w:t>
                  </w:r>
                </w:p>
              </w:tc>
              <w:tc>
                <w:tcPr>
                  <w:tcW w:w="2416" w:type="dxa"/>
                  <w:gridSpan w:val="3"/>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center"/>
                </w:tcPr>
                <w:p>
                  <w:pPr>
                    <w:spacing w:line="500" w:lineRule="exact"/>
                    <w:rPr>
                      <w:rFonts w:ascii="宋体" w:hAnsi="宋体"/>
                      <w:color w:val="000000" w:themeColor="text1"/>
                      <w:szCs w:val="21"/>
                    </w:rPr>
                  </w:pPr>
                  <w:r>
                    <w:rPr>
                      <w:rFonts w:hint="eastAsia"/>
                      <w:color w:val="000000" w:themeColor="text1"/>
                      <w:szCs w:val="21"/>
                    </w:rPr>
                    <w:t>　</w:t>
                  </w:r>
                </w:p>
              </w:tc>
            </w:tr>
            <w:tr>
              <w:tblPrEx>
                <w:tblCellMar>
                  <w:top w:w="0" w:type="dxa"/>
                  <w:left w:w="108" w:type="dxa"/>
                  <w:bottom w:w="0" w:type="dxa"/>
                  <w:right w:w="108" w:type="dxa"/>
                </w:tblCellMar>
              </w:tblPrEx>
              <w:trPr>
                <w:gridBefore w:val="2"/>
                <w:wBefore w:w="564" w:type="dxa"/>
                <w:trHeight w:val="574" w:hRule="atLeast"/>
              </w:trPr>
              <w:tc>
                <w:tcPr>
                  <w:tcW w:w="8006" w:type="dxa"/>
                  <w:gridSpan w:val="17"/>
                  <w:tcBorders>
                    <w:top w:val="nil"/>
                    <w:left w:val="nil"/>
                    <w:bottom w:val="nil"/>
                    <w:right w:val="nil"/>
                  </w:tcBorders>
                  <w:shd w:val="clear" w:color="auto" w:fill="auto"/>
                  <w:vAlign w:val="center"/>
                </w:tcPr>
                <w:p>
                  <w:pPr>
                    <w:widowControl/>
                    <w:spacing w:line="312" w:lineRule="auto"/>
                    <w:jc w:val="center"/>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r>
                    <w:rPr>
                      <w:rFonts w:hint="eastAsia" w:ascii="宋体" w:hAnsi="宋体" w:cs="Arial"/>
                      <w:b/>
                      <w:bCs/>
                      <w:color w:val="000000" w:themeColor="text1"/>
                      <w:kern w:val="0"/>
                      <w:sz w:val="36"/>
                      <w:szCs w:val="36"/>
                    </w:rPr>
                    <w:t>措施项目清单与计价表</w:t>
                  </w:r>
                </w:p>
              </w:tc>
            </w:tr>
            <w:tr>
              <w:tblPrEx>
                <w:tblCellMar>
                  <w:top w:w="0" w:type="dxa"/>
                  <w:left w:w="108" w:type="dxa"/>
                  <w:bottom w:w="0" w:type="dxa"/>
                  <w:right w:w="108" w:type="dxa"/>
                </w:tblCellMar>
              </w:tblPrEx>
              <w:trPr>
                <w:gridBefore w:val="2"/>
                <w:wBefore w:w="564" w:type="dxa"/>
                <w:trHeight w:val="469" w:hRule="atLeast"/>
              </w:trPr>
              <w:tc>
                <w:tcPr>
                  <w:tcW w:w="3767" w:type="dxa"/>
                  <w:gridSpan w:val="8"/>
                  <w:tcBorders>
                    <w:top w:val="nil"/>
                    <w:left w:val="nil"/>
                    <w:bottom w:val="single" w:color="000000" w:sz="8" w:space="0"/>
                    <w:right w:val="nil"/>
                  </w:tcBorders>
                  <w:shd w:val="clear" w:color="auto" w:fill="auto"/>
                  <w:vAlign w:val="bottom"/>
                </w:tcPr>
                <w:p>
                  <w:pPr>
                    <w:widowControl/>
                    <w:spacing w:line="312" w:lineRule="auto"/>
                    <w:jc w:val="left"/>
                    <w:rPr>
                      <w:rFonts w:ascii="宋体" w:hAnsi="宋体" w:cs="Arial"/>
                      <w:b/>
                      <w:bCs/>
                      <w:color w:val="000000" w:themeColor="text1"/>
                      <w:kern w:val="0"/>
                    </w:rPr>
                  </w:pPr>
                  <w:r>
                    <w:rPr>
                      <w:rFonts w:hint="eastAsia" w:ascii="宋体" w:hAnsi="宋体" w:cs="Arial"/>
                      <w:b/>
                      <w:bCs/>
                      <w:color w:val="000000" w:themeColor="text1"/>
                      <w:kern w:val="0"/>
                    </w:rPr>
                    <w:t>工程名称：</w:t>
                  </w:r>
                  <w:r>
                    <w:rPr>
                      <w:rFonts w:ascii="宋体" w:hAnsi="宋体" w:cs="Arial"/>
                      <w:b/>
                      <w:bCs/>
                      <w:color w:val="000000" w:themeColor="text1"/>
                      <w:kern w:val="0"/>
                    </w:rPr>
                    <w:t xml:space="preserve"> </w:t>
                  </w:r>
                </w:p>
              </w:tc>
              <w:tc>
                <w:tcPr>
                  <w:tcW w:w="1047" w:type="dxa"/>
                  <w:gridSpan w:val="4"/>
                  <w:tcBorders>
                    <w:top w:val="nil"/>
                    <w:left w:val="nil"/>
                    <w:bottom w:val="single" w:color="000000" w:sz="8" w:space="0"/>
                    <w:right w:val="nil"/>
                  </w:tcBorders>
                  <w:shd w:val="clear" w:color="auto" w:fill="auto"/>
                  <w:vAlign w:val="bottom"/>
                </w:tcPr>
                <w:p>
                  <w:pPr>
                    <w:widowControl/>
                    <w:spacing w:line="312" w:lineRule="auto"/>
                    <w:jc w:val="left"/>
                    <w:rPr>
                      <w:rFonts w:ascii="宋体" w:hAnsi="宋体" w:cs="Arial"/>
                      <w:b/>
                      <w:bCs/>
                      <w:color w:val="000000" w:themeColor="text1"/>
                      <w:kern w:val="0"/>
                    </w:rPr>
                  </w:pPr>
                </w:p>
              </w:tc>
              <w:tc>
                <w:tcPr>
                  <w:tcW w:w="3192" w:type="dxa"/>
                  <w:gridSpan w:val="5"/>
                  <w:tcBorders>
                    <w:top w:val="nil"/>
                    <w:left w:val="nil"/>
                    <w:bottom w:val="single" w:color="000000" w:sz="8" w:space="0"/>
                    <w:right w:val="nil"/>
                  </w:tcBorders>
                  <w:shd w:val="clear" w:color="auto" w:fill="auto"/>
                  <w:vAlign w:val="bottom"/>
                </w:tcPr>
                <w:p>
                  <w:pPr>
                    <w:widowControl/>
                    <w:spacing w:line="312" w:lineRule="auto"/>
                    <w:jc w:val="right"/>
                    <w:rPr>
                      <w:rFonts w:ascii="宋体" w:hAnsi="宋体" w:cs="Arial"/>
                      <w:b/>
                      <w:bCs/>
                      <w:color w:val="000000" w:themeColor="text1"/>
                      <w:kern w:val="0"/>
                    </w:rPr>
                  </w:pPr>
                </w:p>
              </w:tc>
            </w:tr>
            <w:tr>
              <w:tblPrEx>
                <w:tblCellMar>
                  <w:top w:w="0" w:type="dxa"/>
                  <w:left w:w="108" w:type="dxa"/>
                  <w:bottom w:w="0" w:type="dxa"/>
                  <w:right w:w="108" w:type="dxa"/>
                </w:tblCellMar>
              </w:tblPrEx>
              <w:trPr>
                <w:gridBefore w:val="2"/>
                <w:wBefore w:w="564" w:type="dxa"/>
                <w:trHeight w:val="756" w:hRule="atLeast"/>
              </w:trPr>
              <w:tc>
                <w:tcPr>
                  <w:tcW w:w="806" w:type="dxa"/>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序号</w:t>
                  </w:r>
                </w:p>
              </w:tc>
              <w:tc>
                <w:tcPr>
                  <w:tcW w:w="1107"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项目名称</w:t>
                  </w:r>
                </w:p>
              </w:tc>
              <w:tc>
                <w:tcPr>
                  <w:tcW w:w="1854" w:type="dxa"/>
                  <w:gridSpan w:val="4"/>
                  <w:tcBorders>
                    <w:top w:val="single" w:color="000000" w:sz="8" w:space="0"/>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计算基础</w:t>
                  </w:r>
                </w:p>
              </w:tc>
              <w:tc>
                <w:tcPr>
                  <w:tcW w:w="1047" w:type="dxa"/>
                  <w:gridSpan w:val="4"/>
                  <w:tcBorders>
                    <w:top w:val="nil"/>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费率 (%)</w:t>
                  </w:r>
                </w:p>
              </w:tc>
              <w:tc>
                <w:tcPr>
                  <w:tcW w:w="1061"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金额(元)</w:t>
                  </w:r>
                </w:p>
              </w:tc>
              <w:tc>
                <w:tcPr>
                  <w:tcW w:w="2131" w:type="dxa"/>
                  <w:gridSpan w:val="2"/>
                  <w:tcBorders>
                    <w:top w:val="nil"/>
                    <w:left w:val="nil"/>
                    <w:bottom w:val="single" w:color="000000" w:sz="4" w:space="0"/>
                    <w:right w:val="single" w:color="000000" w:sz="8"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备注</w:t>
                  </w:r>
                </w:p>
              </w:tc>
            </w:tr>
            <w:tr>
              <w:tblPrEx>
                <w:tblCellMar>
                  <w:top w:w="0" w:type="dxa"/>
                  <w:left w:w="108" w:type="dxa"/>
                  <w:bottom w:w="0" w:type="dxa"/>
                  <w:right w:w="108" w:type="dxa"/>
                </w:tblCellMar>
              </w:tblPrEx>
              <w:trPr>
                <w:gridBefore w:val="2"/>
                <w:wBefore w:w="564" w:type="dxa"/>
                <w:trHeight w:val="564" w:hRule="atLeast"/>
              </w:trPr>
              <w:tc>
                <w:tcPr>
                  <w:tcW w:w="806" w:type="dxa"/>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0" w:type="dxa"/>
                  <w:gridSpan w:val="16"/>
                  <w:tcBorders>
                    <w:top w:val="nil"/>
                    <w:left w:val="nil"/>
                    <w:bottom w:val="single" w:color="000000" w:sz="4" w:space="0"/>
                    <w:right w:val="single" w:color="000000" w:sz="8"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安全文明施工　</w:t>
                  </w:r>
                </w:p>
              </w:tc>
            </w:tr>
            <w:tr>
              <w:tblPrEx>
                <w:tblCellMar>
                  <w:top w:w="0" w:type="dxa"/>
                  <w:left w:w="108" w:type="dxa"/>
                  <w:bottom w:w="0" w:type="dxa"/>
                  <w:right w:w="108" w:type="dxa"/>
                </w:tblCellMar>
              </w:tblPrEx>
              <w:trPr>
                <w:gridBefore w:val="2"/>
                <w:wBefore w:w="564" w:type="dxa"/>
                <w:trHeight w:val="1037" w:hRule="atLeast"/>
              </w:trPr>
              <w:tc>
                <w:tcPr>
                  <w:tcW w:w="806" w:type="dxa"/>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1.1</w:t>
                  </w:r>
                </w:p>
              </w:tc>
              <w:tc>
                <w:tcPr>
                  <w:tcW w:w="891"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基本费</w:t>
                  </w:r>
                </w:p>
              </w:tc>
              <w:tc>
                <w:tcPr>
                  <w:tcW w:w="2286"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分部分项清单合价+单价措施清单合价-分部分项除税工程设备费-单价措施除税工程设备费</w:t>
                  </w:r>
                </w:p>
              </w:tc>
              <w:tc>
                <w:tcPr>
                  <w:tcW w:w="831"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1.5　</w:t>
                  </w:r>
                </w:p>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　</w:t>
                  </w:r>
                </w:p>
                <w:p>
                  <w:pPr>
                    <w:widowControl/>
                    <w:spacing w:line="312" w:lineRule="auto"/>
                    <w:jc w:val="right"/>
                    <w:rPr>
                      <w:rFonts w:ascii="宋体" w:hAnsi="宋体" w:cs="Arial"/>
                      <w:color w:val="000000" w:themeColor="text1"/>
                      <w:kern w:val="0"/>
                      <w:sz w:val="20"/>
                      <w:szCs w:val="20"/>
                    </w:rPr>
                  </w:pPr>
                </w:p>
              </w:tc>
              <w:tc>
                <w:tcPr>
                  <w:tcW w:w="1061"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2131" w:type="dxa"/>
                  <w:gridSpan w:val="2"/>
                  <w:tcBorders>
                    <w:top w:val="nil"/>
                    <w:left w:val="nil"/>
                    <w:bottom w:val="single" w:color="000000" w:sz="4" w:space="0"/>
                    <w:right w:val="single" w:color="000000" w:sz="8" w:space="0"/>
                  </w:tcBorders>
                  <w:shd w:val="clear" w:color="auto" w:fill="auto"/>
                  <w:vAlign w:val="center"/>
                </w:tcPr>
                <w:p>
                  <w:pPr>
                    <w:widowControl/>
                    <w:spacing w:line="312" w:lineRule="auto"/>
                    <w:jc w:val="left"/>
                    <w:rPr>
                      <w:rFonts w:ascii="宋体" w:hAnsi="宋体" w:cs="Arial"/>
                      <w:color w:val="000000" w:themeColor="text1"/>
                      <w:kern w:val="0"/>
                      <w:sz w:val="20"/>
                      <w:szCs w:val="20"/>
                    </w:rPr>
                  </w:pPr>
                </w:p>
              </w:tc>
            </w:tr>
            <w:tr>
              <w:tblPrEx>
                <w:tblCellMar>
                  <w:top w:w="0" w:type="dxa"/>
                  <w:left w:w="108" w:type="dxa"/>
                  <w:bottom w:w="0" w:type="dxa"/>
                  <w:right w:w="108" w:type="dxa"/>
                </w:tblCellMar>
              </w:tblPrEx>
              <w:trPr>
                <w:gridBefore w:val="2"/>
                <w:wBefore w:w="564" w:type="dxa"/>
                <w:trHeight w:val="1243" w:hRule="atLeast"/>
              </w:trPr>
              <w:tc>
                <w:tcPr>
                  <w:tcW w:w="806" w:type="dxa"/>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1.2</w:t>
                  </w:r>
                </w:p>
              </w:tc>
              <w:tc>
                <w:tcPr>
                  <w:tcW w:w="891"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增加费</w:t>
                  </w:r>
                </w:p>
              </w:tc>
              <w:tc>
                <w:tcPr>
                  <w:tcW w:w="2286"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分部分项清单合价+单价措施清单合价-分部分项除税工程设备费-单价措施除税工程设备费</w:t>
                  </w:r>
                </w:p>
              </w:tc>
              <w:tc>
                <w:tcPr>
                  <w:tcW w:w="831"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0　</w:t>
                  </w:r>
                </w:p>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　</w:t>
                  </w:r>
                </w:p>
                <w:p>
                  <w:pPr>
                    <w:widowControl/>
                    <w:spacing w:line="312" w:lineRule="auto"/>
                    <w:jc w:val="right"/>
                    <w:rPr>
                      <w:rFonts w:ascii="宋体" w:hAnsi="宋体" w:cs="Arial"/>
                      <w:color w:val="000000" w:themeColor="text1"/>
                      <w:kern w:val="0"/>
                      <w:sz w:val="20"/>
                      <w:szCs w:val="20"/>
                    </w:rPr>
                  </w:pPr>
                </w:p>
              </w:tc>
              <w:tc>
                <w:tcPr>
                  <w:tcW w:w="1061"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2131" w:type="dxa"/>
                  <w:gridSpan w:val="2"/>
                  <w:tcBorders>
                    <w:top w:val="nil"/>
                    <w:left w:val="nil"/>
                    <w:bottom w:val="single" w:color="000000" w:sz="4" w:space="0"/>
                    <w:right w:val="single" w:color="000000" w:sz="8" w:space="0"/>
                  </w:tcBorders>
                  <w:shd w:val="clear" w:color="auto" w:fill="auto"/>
                  <w:vAlign w:val="center"/>
                </w:tcPr>
                <w:p>
                  <w:pPr>
                    <w:widowControl/>
                    <w:spacing w:line="312" w:lineRule="auto"/>
                    <w:jc w:val="left"/>
                    <w:rPr>
                      <w:rFonts w:ascii="宋体" w:hAnsi="宋体" w:cs="Arial"/>
                      <w:color w:val="000000" w:themeColor="text1"/>
                      <w:kern w:val="0"/>
                      <w:sz w:val="20"/>
                      <w:szCs w:val="20"/>
                    </w:rPr>
                  </w:pPr>
                </w:p>
              </w:tc>
            </w:tr>
            <w:tr>
              <w:tblPrEx>
                <w:tblCellMar>
                  <w:top w:w="0" w:type="dxa"/>
                  <w:left w:w="108" w:type="dxa"/>
                  <w:bottom w:w="0" w:type="dxa"/>
                  <w:right w:w="108" w:type="dxa"/>
                </w:tblCellMar>
              </w:tblPrEx>
              <w:trPr>
                <w:gridBefore w:val="2"/>
                <w:wBefore w:w="564" w:type="dxa"/>
                <w:trHeight w:val="1331" w:hRule="atLeast"/>
              </w:trPr>
              <w:tc>
                <w:tcPr>
                  <w:tcW w:w="806" w:type="dxa"/>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1.3</w:t>
                  </w:r>
                </w:p>
              </w:tc>
              <w:tc>
                <w:tcPr>
                  <w:tcW w:w="891"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扬尘污染防治增加费</w:t>
                  </w:r>
                </w:p>
              </w:tc>
              <w:tc>
                <w:tcPr>
                  <w:tcW w:w="2286"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分部分项清单合价+单价措施清单合价-分部分项除税工程设备费-单价措施除税工程设备费</w:t>
                  </w:r>
                </w:p>
              </w:tc>
              <w:tc>
                <w:tcPr>
                  <w:tcW w:w="831"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0</w:t>
                  </w:r>
                </w:p>
              </w:tc>
              <w:tc>
                <w:tcPr>
                  <w:tcW w:w="1061"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2131" w:type="dxa"/>
                  <w:gridSpan w:val="2"/>
                  <w:tcBorders>
                    <w:top w:val="nil"/>
                    <w:left w:val="nil"/>
                    <w:bottom w:val="single" w:color="000000" w:sz="4" w:space="0"/>
                    <w:right w:val="single" w:color="000000" w:sz="8"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　</w:t>
                  </w:r>
                </w:p>
              </w:tc>
            </w:tr>
            <w:tr>
              <w:tblPrEx>
                <w:tblCellMar>
                  <w:top w:w="0" w:type="dxa"/>
                  <w:left w:w="108" w:type="dxa"/>
                  <w:bottom w:w="0" w:type="dxa"/>
                  <w:right w:w="108" w:type="dxa"/>
                </w:tblCellMar>
              </w:tblPrEx>
              <w:trPr>
                <w:gridBefore w:val="2"/>
                <w:wBefore w:w="564" w:type="dxa"/>
                <w:trHeight w:val="421" w:hRule="atLeast"/>
              </w:trPr>
              <w:tc>
                <w:tcPr>
                  <w:tcW w:w="4814" w:type="dxa"/>
                  <w:gridSpan w:val="1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合  计　</w:t>
                  </w:r>
                </w:p>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　</w:t>
                  </w:r>
                </w:p>
              </w:tc>
              <w:tc>
                <w:tcPr>
                  <w:tcW w:w="1061" w:type="dxa"/>
                  <w:gridSpan w:val="3"/>
                  <w:tcBorders>
                    <w:top w:val="nil"/>
                    <w:left w:val="nil"/>
                    <w:bottom w:val="single" w:color="000000" w:sz="8" w:space="0"/>
                    <w:right w:val="single" w:color="000000" w:sz="4" w:space="0"/>
                  </w:tcBorders>
                  <w:shd w:val="clear" w:color="auto" w:fill="auto"/>
                  <w:vAlign w:val="center"/>
                </w:tcPr>
                <w:p>
                  <w:pPr>
                    <w:widowControl/>
                    <w:spacing w:line="312" w:lineRule="auto"/>
                    <w:ind w:right="400"/>
                    <w:rPr>
                      <w:rFonts w:ascii="宋体" w:hAnsi="宋体" w:cs="Arial"/>
                      <w:color w:val="000000" w:themeColor="text1"/>
                      <w:kern w:val="0"/>
                      <w:sz w:val="20"/>
                      <w:szCs w:val="20"/>
                    </w:rPr>
                  </w:pPr>
                </w:p>
              </w:tc>
              <w:tc>
                <w:tcPr>
                  <w:tcW w:w="2131" w:type="dxa"/>
                  <w:gridSpan w:val="2"/>
                  <w:tcBorders>
                    <w:top w:val="nil"/>
                    <w:left w:val="nil"/>
                    <w:bottom w:val="single" w:color="000000" w:sz="8" w:space="0"/>
                    <w:right w:val="single" w:color="000000" w:sz="8"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　</w:t>
                  </w:r>
                </w:p>
              </w:tc>
            </w:tr>
            <w:tr>
              <w:tblPrEx>
                <w:tblCellMar>
                  <w:top w:w="0" w:type="dxa"/>
                  <w:left w:w="108" w:type="dxa"/>
                  <w:bottom w:w="0" w:type="dxa"/>
                  <w:right w:w="108" w:type="dxa"/>
                </w:tblCellMar>
              </w:tblPrEx>
              <w:trPr>
                <w:gridBefore w:val="2"/>
                <w:wBefore w:w="564" w:type="dxa"/>
                <w:trHeight w:val="574" w:hRule="atLeast"/>
              </w:trPr>
              <w:tc>
                <w:tcPr>
                  <w:tcW w:w="8006" w:type="dxa"/>
                  <w:gridSpan w:val="17"/>
                  <w:tcBorders>
                    <w:top w:val="nil"/>
                    <w:left w:val="nil"/>
                    <w:bottom w:val="nil"/>
                    <w:right w:val="nil"/>
                  </w:tcBorders>
                  <w:shd w:val="clear" w:color="auto" w:fill="auto"/>
                  <w:vAlign w:val="center"/>
                </w:tcPr>
                <w:p>
                  <w:pPr>
                    <w:widowControl/>
                    <w:spacing w:line="312" w:lineRule="auto"/>
                    <w:jc w:val="center"/>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p>
                <w:p>
                  <w:pPr>
                    <w:widowControl/>
                    <w:spacing w:line="312" w:lineRule="auto"/>
                    <w:jc w:val="center"/>
                    <w:rPr>
                      <w:rFonts w:ascii="宋体" w:hAnsi="宋体" w:cs="Arial"/>
                      <w:b/>
                      <w:bCs/>
                      <w:color w:val="000000" w:themeColor="text1"/>
                      <w:kern w:val="0"/>
                      <w:sz w:val="36"/>
                      <w:szCs w:val="36"/>
                    </w:rPr>
                  </w:pPr>
                  <w:r>
                    <w:rPr>
                      <w:rFonts w:hint="eastAsia" w:ascii="宋体" w:hAnsi="宋体" w:cs="Arial"/>
                      <w:b/>
                      <w:bCs/>
                      <w:color w:val="000000" w:themeColor="text1"/>
                      <w:kern w:val="0"/>
                      <w:sz w:val="36"/>
                      <w:szCs w:val="36"/>
                    </w:rPr>
                    <w:t>规费、税金项目计价表</w:t>
                  </w:r>
                </w:p>
              </w:tc>
            </w:tr>
            <w:tr>
              <w:tblPrEx>
                <w:tblCellMar>
                  <w:top w:w="0" w:type="dxa"/>
                  <w:left w:w="108" w:type="dxa"/>
                  <w:bottom w:w="0" w:type="dxa"/>
                  <w:right w:w="108" w:type="dxa"/>
                </w:tblCellMar>
              </w:tblPrEx>
              <w:trPr>
                <w:gridBefore w:val="2"/>
                <w:wBefore w:w="564" w:type="dxa"/>
                <w:trHeight w:val="469" w:hRule="atLeast"/>
              </w:trPr>
              <w:tc>
                <w:tcPr>
                  <w:tcW w:w="2391" w:type="dxa"/>
                  <w:gridSpan w:val="6"/>
                  <w:tcBorders>
                    <w:top w:val="nil"/>
                    <w:left w:val="nil"/>
                    <w:bottom w:val="single" w:color="000000" w:sz="8" w:space="0"/>
                    <w:right w:val="nil"/>
                  </w:tcBorders>
                  <w:shd w:val="clear" w:color="auto" w:fill="auto"/>
                  <w:vAlign w:val="bottom"/>
                </w:tcPr>
                <w:p>
                  <w:pPr>
                    <w:widowControl/>
                    <w:spacing w:line="312" w:lineRule="auto"/>
                    <w:jc w:val="left"/>
                    <w:rPr>
                      <w:rFonts w:ascii="宋体" w:hAnsi="宋体" w:cs="Arial"/>
                      <w:b/>
                      <w:bCs/>
                      <w:color w:val="000000" w:themeColor="text1"/>
                      <w:kern w:val="0"/>
                    </w:rPr>
                  </w:pPr>
                  <w:r>
                    <w:rPr>
                      <w:rFonts w:hint="eastAsia" w:ascii="宋体" w:hAnsi="宋体" w:cs="Arial"/>
                      <w:b/>
                      <w:bCs/>
                      <w:color w:val="000000" w:themeColor="text1"/>
                      <w:kern w:val="0"/>
                    </w:rPr>
                    <w:t xml:space="preserve">工程名称： </w:t>
                  </w:r>
                </w:p>
              </w:tc>
              <w:tc>
                <w:tcPr>
                  <w:tcW w:w="1884" w:type="dxa"/>
                  <w:gridSpan w:val="4"/>
                  <w:tcBorders>
                    <w:top w:val="nil"/>
                    <w:left w:val="nil"/>
                    <w:bottom w:val="single" w:color="000000" w:sz="8" w:space="0"/>
                    <w:right w:val="nil"/>
                  </w:tcBorders>
                  <w:shd w:val="clear" w:color="auto" w:fill="auto"/>
                  <w:vAlign w:val="bottom"/>
                </w:tcPr>
                <w:p>
                  <w:pPr>
                    <w:widowControl/>
                    <w:spacing w:line="312" w:lineRule="auto"/>
                    <w:jc w:val="left"/>
                    <w:rPr>
                      <w:rFonts w:ascii="宋体" w:hAnsi="宋体" w:cs="Arial"/>
                      <w:b/>
                      <w:bCs/>
                      <w:color w:val="000000" w:themeColor="text1"/>
                      <w:kern w:val="0"/>
                    </w:rPr>
                  </w:pPr>
                </w:p>
              </w:tc>
              <w:tc>
                <w:tcPr>
                  <w:tcW w:w="3731" w:type="dxa"/>
                  <w:gridSpan w:val="7"/>
                  <w:tcBorders>
                    <w:top w:val="nil"/>
                    <w:left w:val="nil"/>
                    <w:bottom w:val="single" w:color="000000" w:sz="8" w:space="0"/>
                    <w:right w:val="nil"/>
                  </w:tcBorders>
                  <w:shd w:val="clear" w:color="auto" w:fill="auto"/>
                  <w:vAlign w:val="bottom"/>
                </w:tcPr>
                <w:p>
                  <w:pPr>
                    <w:widowControl/>
                    <w:spacing w:line="312" w:lineRule="auto"/>
                    <w:jc w:val="right"/>
                    <w:rPr>
                      <w:rFonts w:ascii="宋体" w:hAnsi="宋体" w:cs="Arial"/>
                      <w:b/>
                      <w:bCs/>
                      <w:color w:val="000000" w:themeColor="text1"/>
                      <w:kern w:val="0"/>
                    </w:rPr>
                  </w:pPr>
                </w:p>
              </w:tc>
            </w:tr>
            <w:tr>
              <w:tblPrEx>
                <w:tblCellMar>
                  <w:top w:w="0" w:type="dxa"/>
                  <w:left w:w="108" w:type="dxa"/>
                  <w:bottom w:w="0" w:type="dxa"/>
                  <w:right w:w="108" w:type="dxa"/>
                </w:tblCellMar>
              </w:tblPrEx>
              <w:trPr>
                <w:gridBefore w:val="2"/>
                <w:wBefore w:w="564" w:type="dxa"/>
                <w:trHeight w:val="338" w:hRule="atLeast"/>
              </w:trPr>
              <w:tc>
                <w:tcPr>
                  <w:tcW w:w="1022" w:type="dxa"/>
                  <w:gridSpan w:val="2"/>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序号</w:t>
                  </w:r>
                </w:p>
              </w:tc>
              <w:tc>
                <w:tcPr>
                  <w:tcW w:w="1107"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项 目 名 称</w:t>
                  </w:r>
                </w:p>
              </w:tc>
              <w:tc>
                <w:tcPr>
                  <w:tcW w:w="1215" w:type="dxa"/>
                  <w:gridSpan w:val="2"/>
                  <w:tcBorders>
                    <w:top w:val="single" w:color="000000" w:sz="8" w:space="0"/>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计算基础</w:t>
                  </w:r>
                </w:p>
              </w:tc>
              <w:tc>
                <w:tcPr>
                  <w:tcW w:w="1147" w:type="dxa"/>
                  <w:gridSpan w:val="4"/>
                  <w:tcBorders>
                    <w:top w:val="single" w:color="000000" w:sz="8" w:space="0"/>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计算基数(元)</w:t>
                  </w:r>
                </w:p>
              </w:tc>
              <w:tc>
                <w:tcPr>
                  <w:tcW w:w="848"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计算费率(%)</w:t>
                  </w:r>
                </w:p>
              </w:tc>
              <w:tc>
                <w:tcPr>
                  <w:tcW w:w="2667" w:type="dxa"/>
                  <w:gridSpan w:val="4"/>
                  <w:tcBorders>
                    <w:top w:val="nil"/>
                    <w:left w:val="nil"/>
                    <w:bottom w:val="single" w:color="000000" w:sz="4" w:space="0"/>
                    <w:right w:val="single" w:color="000000" w:sz="8" w:space="0"/>
                  </w:tcBorders>
                  <w:shd w:val="clear" w:color="auto" w:fill="auto"/>
                  <w:vAlign w:val="center"/>
                </w:tcPr>
                <w:p>
                  <w:pPr>
                    <w:widowControl/>
                    <w:spacing w:line="312" w:lineRule="auto"/>
                    <w:jc w:val="center"/>
                    <w:rPr>
                      <w:rFonts w:ascii="宋体" w:hAnsi="宋体" w:cs="Arial"/>
                      <w:b/>
                      <w:bCs/>
                      <w:color w:val="000000" w:themeColor="text1"/>
                      <w:kern w:val="0"/>
                      <w:sz w:val="20"/>
                      <w:szCs w:val="20"/>
                    </w:rPr>
                  </w:pPr>
                  <w:r>
                    <w:rPr>
                      <w:rFonts w:hint="eastAsia" w:ascii="宋体" w:hAnsi="宋体" w:cs="Arial"/>
                      <w:b/>
                      <w:bCs/>
                      <w:color w:val="000000" w:themeColor="text1"/>
                      <w:kern w:val="0"/>
                      <w:sz w:val="20"/>
                      <w:szCs w:val="20"/>
                    </w:rPr>
                    <w:t>金额(元)</w:t>
                  </w:r>
                </w:p>
              </w:tc>
            </w:tr>
            <w:tr>
              <w:tblPrEx>
                <w:tblCellMar>
                  <w:top w:w="0" w:type="dxa"/>
                  <w:left w:w="108" w:type="dxa"/>
                  <w:bottom w:w="0" w:type="dxa"/>
                  <w:right w:w="108" w:type="dxa"/>
                </w:tblCellMar>
              </w:tblPrEx>
              <w:trPr>
                <w:gridBefore w:val="2"/>
                <w:wBefore w:w="564" w:type="dxa"/>
                <w:trHeight w:val="589" w:hRule="atLeast"/>
              </w:trPr>
              <w:tc>
                <w:tcPr>
                  <w:tcW w:w="1022" w:type="dxa"/>
                  <w:gridSpan w:val="2"/>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1107" w:type="dxa"/>
                  <w:gridSpan w:val="3"/>
                  <w:tcBorders>
                    <w:top w:val="nil"/>
                    <w:left w:val="nil"/>
                    <w:bottom w:val="single" w:color="auto"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规     费</w:t>
                  </w:r>
                </w:p>
              </w:tc>
              <w:tc>
                <w:tcPr>
                  <w:tcW w:w="121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312" w:lineRule="auto"/>
                    <w:jc w:val="left"/>
                    <w:rPr>
                      <w:rFonts w:ascii="宋体" w:hAnsi="宋体" w:cs="Arial"/>
                      <w:color w:val="000000" w:themeColor="text1"/>
                      <w:kern w:val="0"/>
                      <w:sz w:val="20"/>
                      <w:szCs w:val="20"/>
                    </w:rPr>
                  </w:pPr>
                </w:p>
              </w:tc>
              <w:tc>
                <w:tcPr>
                  <w:tcW w:w="114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848"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2667" w:type="dxa"/>
                  <w:gridSpan w:val="4"/>
                  <w:tcBorders>
                    <w:top w:val="nil"/>
                    <w:left w:val="nil"/>
                    <w:bottom w:val="single" w:color="000000" w:sz="4" w:space="0"/>
                    <w:right w:val="single" w:color="000000" w:sz="8"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r>
            <w:tr>
              <w:tblPrEx>
                <w:tblCellMar>
                  <w:top w:w="0" w:type="dxa"/>
                  <w:left w:w="108" w:type="dxa"/>
                  <w:bottom w:w="0" w:type="dxa"/>
                  <w:right w:w="108" w:type="dxa"/>
                </w:tblCellMar>
              </w:tblPrEx>
              <w:trPr>
                <w:gridBefore w:val="2"/>
                <w:wBefore w:w="564" w:type="dxa"/>
                <w:trHeight w:val="574" w:hRule="atLeast"/>
              </w:trPr>
              <w:tc>
                <w:tcPr>
                  <w:tcW w:w="1022" w:type="dxa"/>
                  <w:gridSpan w:val="2"/>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1.1</w:t>
                  </w:r>
                </w:p>
              </w:tc>
              <w:tc>
                <w:tcPr>
                  <w:tcW w:w="1107" w:type="dxa"/>
                  <w:gridSpan w:val="3"/>
                  <w:tcBorders>
                    <w:top w:val="single" w:color="auto" w:sz="4" w:space="0"/>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社会保险费</w:t>
                  </w:r>
                </w:p>
              </w:tc>
              <w:tc>
                <w:tcPr>
                  <w:tcW w:w="1215" w:type="dxa"/>
                  <w:gridSpan w:val="2"/>
                  <w:vMerge w:val="restart"/>
                  <w:tcBorders>
                    <w:top w:val="single" w:color="auto" w:sz="4" w:space="0"/>
                    <w:left w:val="nil"/>
                    <w:bottom w:val="single" w:color="000000" w:sz="4" w:space="0"/>
                    <w:right w:val="single" w:color="000000" w:sz="4" w:space="0"/>
                  </w:tcBorders>
                  <w:vAlign w:val="center"/>
                </w:tcPr>
                <w:p>
                  <w:pPr>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分部分项工程费+措施项目费+其他项目费-除税工程设备费</w:t>
                  </w:r>
                </w:p>
              </w:tc>
              <w:tc>
                <w:tcPr>
                  <w:tcW w:w="114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848"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3.8</w:t>
                  </w:r>
                </w:p>
              </w:tc>
              <w:tc>
                <w:tcPr>
                  <w:tcW w:w="2667" w:type="dxa"/>
                  <w:gridSpan w:val="4"/>
                  <w:tcBorders>
                    <w:top w:val="nil"/>
                    <w:left w:val="nil"/>
                    <w:bottom w:val="single" w:color="000000" w:sz="4" w:space="0"/>
                    <w:right w:val="single" w:color="000000" w:sz="8"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r>
            <w:tr>
              <w:tblPrEx>
                <w:tblCellMar>
                  <w:top w:w="0" w:type="dxa"/>
                  <w:left w:w="108" w:type="dxa"/>
                  <w:bottom w:w="0" w:type="dxa"/>
                  <w:right w:w="108" w:type="dxa"/>
                </w:tblCellMar>
              </w:tblPrEx>
              <w:trPr>
                <w:gridBefore w:val="2"/>
                <w:wBefore w:w="564" w:type="dxa"/>
                <w:trHeight w:val="574" w:hRule="atLeast"/>
              </w:trPr>
              <w:tc>
                <w:tcPr>
                  <w:tcW w:w="1022" w:type="dxa"/>
                  <w:gridSpan w:val="2"/>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1.2</w:t>
                  </w:r>
                </w:p>
              </w:tc>
              <w:tc>
                <w:tcPr>
                  <w:tcW w:w="1107"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住房公积金</w:t>
                  </w:r>
                </w:p>
              </w:tc>
              <w:tc>
                <w:tcPr>
                  <w:tcW w:w="1215" w:type="dxa"/>
                  <w:gridSpan w:val="2"/>
                  <w:vMerge w:val="continue"/>
                  <w:tcBorders>
                    <w:top w:val="nil"/>
                    <w:left w:val="nil"/>
                    <w:bottom w:val="single" w:color="000000" w:sz="4" w:space="0"/>
                    <w:right w:val="single" w:color="000000" w:sz="4" w:space="0"/>
                  </w:tcBorders>
                  <w:vAlign w:val="center"/>
                </w:tcPr>
                <w:p>
                  <w:pPr>
                    <w:widowControl/>
                    <w:spacing w:line="312" w:lineRule="auto"/>
                    <w:jc w:val="left"/>
                    <w:rPr>
                      <w:rFonts w:ascii="宋体" w:hAnsi="宋体" w:cs="Arial"/>
                      <w:color w:val="000000" w:themeColor="text1"/>
                      <w:kern w:val="0"/>
                      <w:sz w:val="20"/>
                      <w:szCs w:val="20"/>
                    </w:rPr>
                  </w:pPr>
                </w:p>
              </w:tc>
              <w:tc>
                <w:tcPr>
                  <w:tcW w:w="114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848"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0.67</w:t>
                  </w:r>
                </w:p>
              </w:tc>
              <w:tc>
                <w:tcPr>
                  <w:tcW w:w="2667" w:type="dxa"/>
                  <w:gridSpan w:val="4"/>
                  <w:tcBorders>
                    <w:top w:val="nil"/>
                    <w:left w:val="nil"/>
                    <w:bottom w:val="single" w:color="000000" w:sz="4" w:space="0"/>
                    <w:right w:val="single" w:color="000000" w:sz="8"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r>
            <w:tr>
              <w:tblPrEx>
                <w:tblCellMar>
                  <w:top w:w="0" w:type="dxa"/>
                  <w:left w:w="108" w:type="dxa"/>
                  <w:bottom w:w="0" w:type="dxa"/>
                  <w:right w:w="108" w:type="dxa"/>
                </w:tblCellMar>
              </w:tblPrEx>
              <w:trPr>
                <w:gridBefore w:val="2"/>
                <w:wBefore w:w="564" w:type="dxa"/>
                <w:trHeight w:val="589" w:hRule="atLeast"/>
              </w:trPr>
              <w:tc>
                <w:tcPr>
                  <w:tcW w:w="1022" w:type="dxa"/>
                  <w:gridSpan w:val="2"/>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1.3</w:t>
                  </w:r>
                </w:p>
              </w:tc>
              <w:tc>
                <w:tcPr>
                  <w:tcW w:w="1107"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环境保护税</w:t>
                  </w:r>
                </w:p>
              </w:tc>
              <w:tc>
                <w:tcPr>
                  <w:tcW w:w="1215" w:type="dxa"/>
                  <w:gridSpan w:val="2"/>
                  <w:vMerge w:val="continue"/>
                  <w:tcBorders>
                    <w:top w:val="nil"/>
                    <w:left w:val="nil"/>
                    <w:bottom w:val="single" w:color="000000" w:sz="4" w:space="0"/>
                    <w:right w:val="single" w:color="000000" w:sz="4" w:space="0"/>
                  </w:tcBorders>
                  <w:vAlign w:val="center"/>
                </w:tcPr>
                <w:p>
                  <w:pPr>
                    <w:widowControl/>
                    <w:spacing w:line="312" w:lineRule="auto"/>
                    <w:jc w:val="left"/>
                    <w:rPr>
                      <w:rFonts w:ascii="宋体" w:hAnsi="宋体" w:cs="Arial"/>
                      <w:color w:val="000000" w:themeColor="text1"/>
                      <w:kern w:val="0"/>
                      <w:sz w:val="20"/>
                      <w:szCs w:val="20"/>
                    </w:rPr>
                  </w:pPr>
                </w:p>
              </w:tc>
              <w:tc>
                <w:tcPr>
                  <w:tcW w:w="114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848"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0</w:t>
                  </w:r>
                </w:p>
              </w:tc>
              <w:tc>
                <w:tcPr>
                  <w:tcW w:w="2667" w:type="dxa"/>
                  <w:gridSpan w:val="4"/>
                  <w:tcBorders>
                    <w:top w:val="nil"/>
                    <w:left w:val="nil"/>
                    <w:bottom w:val="single" w:color="000000" w:sz="4" w:space="0"/>
                    <w:right w:val="single" w:color="000000" w:sz="8"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r>
            <w:tr>
              <w:tblPrEx>
                <w:tblCellMar>
                  <w:top w:w="0" w:type="dxa"/>
                  <w:left w:w="108" w:type="dxa"/>
                  <w:bottom w:w="0" w:type="dxa"/>
                  <w:right w:w="108" w:type="dxa"/>
                </w:tblCellMar>
              </w:tblPrEx>
              <w:trPr>
                <w:gridBefore w:val="2"/>
                <w:wBefore w:w="564" w:type="dxa"/>
                <w:trHeight w:val="2364" w:hRule="atLeast"/>
              </w:trPr>
              <w:tc>
                <w:tcPr>
                  <w:tcW w:w="1022" w:type="dxa"/>
                  <w:gridSpan w:val="2"/>
                  <w:tcBorders>
                    <w:top w:val="nil"/>
                    <w:left w:val="single" w:color="000000" w:sz="8" w:space="0"/>
                    <w:bottom w:val="single" w:color="000000" w:sz="4" w:space="0"/>
                    <w:right w:val="single" w:color="000000" w:sz="4" w:space="0"/>
                  </w:tcBorders>
                  <w:shd w:val="clear" w:color="auto" w:fill="auto"/>
                  <w:vAlign w:val="center"/>
                </w:tcPr>
                <w:p>
                  <w:pPr>
                    <w:widowControl/>
                    <w:spacing w:line="312" w:lineRule="auto"/>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1107" w:type="dxa"/>
                  <w:gridSpan w:val="3"/>
                  <w:tcBorders>
                    <w:top w:val="nil"/>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税     金</w:t>
                  </w:r>
                </w:p>
              </w:tc>
              <w:tc>
                <w:tcPr>
                  <w:tcW w:w="1215"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left"/>
                    <w:rPr>
                      <w:rFonts w:ascii="宋体" w:hAnsi="宋体" w:cs="Arial"/>
                      <w:color w:val="000000" w:themeColor="text1"/>
                      <w:kern w:val="0"/>
                      <w:sz w:val="20"/>
                      <w:szCs w:val="20"/>
                    </w:rPr>
                  </w:pPr>
                  <w:r>
                    <w:rPr>
                      <w:rFonts w:hint="eastAsia" w:ascii="宋体" w:hAnsi="宋体" w:cs="Arial"/>
                      <w:color w:val="000000" w:themeColor="text1"/>
                      <w:kern w:val="0"/>
                      <w:sz w:val="20"/>
                      <w:szCs w:val="20"/>
                    </w:rPr>
                    <w:t>分部分项工程费+措施项目费+其他项目费+规费-(甲供材料费+甲供设备费)/1.01</w:t>
                  </w:r>
                </w:p>
              </w:tc>
              <w:tc>
                <w:tcPr>
                  <w:tcW w:w="114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c>
                <w:tcPr>
                  <w:tcW w:w="848" w:type="dxa"/>
                  <w:gridSpan w:val="2"/>
                  <w:tcBorders>
                    <w:top w:val="nil"/>
                    <w:left w:val="nil"/>
                    <w:bottom w:val="single" w:color="000000" w:sz="4" w:space="0"/>
                    <w:right w:val="single" w:color="000000" w:sz="4" w:space="0"/>
                  </w:tcBorders>
                  <w:shd w:val="clear" w:color="auto" w:fill="auto"/>
                  <w:vAlign w:val="center"/>
                </w:tcPr>
                <w:p>
                  <w:pPr>
                    <w:widowControl/>
                    <w:spacing w:line="312" w:lineRule="auto"/>
                    <w:jc w:val="right"/>
                    <w:rPr>
                      <w:rFonts w:ascii="宋体" w:hAnsi="宋体" w:cs="Arial"/>
                      <w:color w:val="000000" w:themeColor="text1"/>
                      <w:kern w:val="0"/>
                      <w:sz w:val="20"/>
                      <w:szCs w:val="20"/>
                    </w:rPr>
                  </w:pPr>
                  <w:r>
                    <w:rPr>
                      <w:rFonts w:hint="eastAsia" w:ascii="宋体" w:hAnsi="宋体" w:cs="Arial"/>
                      <w:color w:val="000000" w:themeColor="text1"/>
                      <w:kern w:val="0"/>
                      <w:sz w:val="20"/>
                      <w:szCs w:val="20"/>
                    </w:rPr>
                    <w:t>9</w:t>
                  </w:r>
                </w:p>
              </w:tc>
              <w:tc>
                <w:tcPr>
                  <w:tcW w:w="2667" w:type="dxa"/>
                  <w:gridSpan w:val="4"/>
                  <w:tcBorders>
                    <w:top w:val="nil"/>
                    <w:left w:val="nil"/>
                    <w:bottom w:val="single" w:color="000000" w:sz="4" w:space="0"/>
                    <w:right w:val="single" w:color="000000" w:sz="8" w:space="0"/>
                  </w:tcBorders>
                  <w:shd w:val="clear" w:color="auto" w:fill="auto"/>
                  <w:vAlign w:val="center"/>
                </w:tcPr>
                <w:p>
                  <w:pPr>
                    <w:widowControl/>
                    <w:spacing w:line="312" w:lineRule="auto"/>
                    <w:jc w:val="right"/>
                    <w:rPr>
                      <w:rFonts w:ascii="宋体" w:hAnsi="宋体" w:cs="Arial"/>
                      <w:color w:val="000000" w:themeColor="text1"/>
                      <w:kern w:val="0"/>
                      <w:sz w:val="20"/>
                      <w:szCs w:val="20"/>
                    </w:rPr>
                  </w:pPr>
                </w:p>
              </w:tc>
            </w:tr>
          </w:tbl>
          <w:p>
            <w:pPr>
              <w:widowControl/>
              <w:snapToGrid w:val="0"/>
              <w:ind w:right="240" w:rightChars="100"/>
              <w:rPr>
                <w:rFonts w:ascii="宋体" w:hAnsi="宋体" w:cs="宋体"/>
                <w:color w:val="000000" w:themeColor="text1"/>
                <w:kern w:val="0"/>
                <w:sz w:val="36"/>
                <w:szCs w:val="36"/>
              </w:rPr>
            </w:pPr>
          </w:p>
          <w:p>
            <w:pPr>
              <w:rPr>
                <w:rFonts w:ascii="楷体_GB2312" w:hAnsi="宋体" w:eastAsia="楷体_GB2312" w:cs="宋体"/>
                <w:bCs/>
                <w:color w:val="000000" w:themeColor="text1"/>
                <w:kern w:val="0"/>
                <w:sz w:val="36"/>
                <w:szCs w:val="36"/>
              </w:rPr>
            </w:pPr>
          </w:p>
          <w:p>
            <w:pPr>
              <w:rPr>
                <w:rFonts w:ascii="楷体_GB2312" w:hAnsi="宋体" w:eastAsia="楷体_GB2312" w:cs="宋体"/>
                <w:bCs/>
                <w:color w:val="000000" w:themeColor="text1"/>
                <w:kern w:val="0"/>
                <w:sz w:val="36"/>
                <w:szCs w:val="36"/>
              </w:rPr>
            </w:pPr>
          </w:p>
          <w:p>
            <w:pPr>
              <w:rPr>
                <w:rFonts w:ascii="楷体_GB2312" w:hAnsi="宋体" w:eastAsia="楷体_GB2312" w:cs="宋体"/>
                <w:bCs/>
                <w:color w:val="000000" w:themeColor="text1"/>
                <w:kern w:val="0"/>
                <w:sz w:val="36"/>
                <w:szCs w:val="36"/>
              </w:rPr>
            </w:pPr>
          </w:p>
          <w:p>
            <w:pPr>
              <w:rPr>
                <w:rFonts w:ascii="楷体_GB2312" w:hAnsi="宋体" w:eastAsia="楷体_GB2312" w:cs="宋体"/>
                <w:bCs/>
                <w:color w:val="000000" w:themeColor="text1"/>
                <w:kern w:val="0"/>
                <w:sz w:val="36"/>
                <w:szCs w:val="36"/>
              </w:rPr>
            </w:pPr>
          </w:p>
          <w:p>
            <w:pPr>
              <w:rPr>
                <w:rFonts w:ascii="楷体_GB2312" w:hAnsi="宋体" w:eastAsia="楷体_GB2312" w:cs="宋体"/>
                <w:bCs/>
                <w:color w:val="000000" w:themeColor="text1"/>
                <w:kern w:val="0"/>
                <w:sz w:val="36"/>
                <w:szCs w:val="36"/>
              </w:rPr>
            </w:pPr>
          </w:p>
          <w:p>
            <w:pPr>
              <w:rPr>
                <w:rFonts w:ascii="楷体_GB2312" w:hAnsi="宋体" w:eastAsia="楷体_GB2312" w:cs="宋体"/>
                <w:bCs/>
                <w:color w:val="000000" w:themeColor="text1"/>
                <w:kern w:val="0"/>
                <w:sz w:val="36"/>
                <w:szCs w:val="36"/>
              </w:rPr>
            </w:pPr>
          </w:p>
          <w:p>
            <w:pPr>
              <w:jc w:val="center"/>
              <w:rPr>
                <w:rFonts w:ascii="楷体_GB2312" w:hAnsi="宋体" w:eastAsia="楷体_GB2312" w:cs="宋体"/>
                <w:bCs/>
                <w:color w:val="000000" w:themeColor="text1"/>
                <w:kern w:val="0"/>
                <w:sz w:val="32"/>
                <w:szCs w:val="32"/>
              </w:rPr>
            </w:pPr>
          </w:p>
          <w:p>
            <w:pPr>
              <w:jc w:val="center"/>
              <w:rPr>
                <w:rFonts w:ascii="楷体_GB2312" w:hAnsi="宋体" w:eastAsia="楷体_GB2312" w:cs="宋体"/>
                <w:bCs/>
                <w:color w:val="000000" w:themeColor="text1"/>
                <w:kern w:val="0"/>
                <w:sz w:val="32"/>
                <w:szCs w:val="32"/>
              </w:rPr>
            </w:pPr>
            <w:r>
              <w:rPr>
                <w:rFonts w:hint="eastAsia" w:ascii="楷体_GB2312" w:hAnsi="宋体" w:eastAsia="楷体_GB2312" w:cs="宋体"/>
                <w:bCs/>
                <w:color w:val="000000" w:themeColor="text1"/>
                <w:kern w:val="0"/>
                <w:sz w:val="32"/>
                <w:szCs w:val="32"/>
              </w:rPr>
              <w:t>安装工程计价程序表</w:t>
            </w:r>
          </w:p>
          <w:p>
            <w:pPr>
              <w:widowControl/>
              <w:snapToGrid w:val="0"/>
              <w:jc w:val="left"/>
              <w:rPr>
                <w:rFonts w:ascii="楷体_GB2312" w:hAnsi="宋体" w:eastAsia="楷体_GB2312"/>
                <w:b/>
                <w:color w:val="000000" w:themeColor="text1"/>
                <w:szCs w:val="21"/>
                <w:u w:val="single"/>
              </w:rPr>
            </w:pPr>
            <w:r>
              <w:rPr>
                <w:rFonts w:hint="eastAsia" w:ascii="楷体_GB2312" w:hAnsi="宋体" w:eastAsia="楷体_GB2312" w:cs="宋体"/>
                <w:b/>
                <w:color w:val="000000" w:themeColor="text1"/>
                <w:kern w:val="0"/>
                <w:szCs w:val="21"/>
              </w:rPr>
              <w:t>工程名称：</w:t>
            </w:r>
          </w:p>
          <w:tbl>
            <w:tblPr>
              <w:tblStyle w:val="60"/>
              <w:tblW w:w="0" w:type="auto"/>
              <w:tblInd w:w="88" w:type="dxa"/>
              <w:tblLayout w:type="autofit"/>
              <w:tblCellMar>
                <w:top w:w="0" w:type="dxa"/>
                <w:left w:w="108" w:type="dxa"/>
                <w:bottom w:w="0" w:type="dxa"/>
                <w:right w:w="108" w:type="dxa"/>
              </w:tblCellMar>
            </w:tblPr>
            <w:tblGrid>
              <w:gridCol w:w="788"/>
              <w:gridCol w:w="220"/>
              <w:gridCol w:w="763"/>
              <w:gridCol w:w="2637"/>
              <w:gridCol w:w="1751"/>
              <w:gridCol w:w="432"/>
              <w:gridCol w:w="841"/>
              <w:gridCol w:w="997"/>
            </w:tblGrid>
            <w:tr>
              <w:tblPrEx>
                <w:tblCellMar>
                  <w:top w:w="0" w:type="dxa"/>
                  <w:left w:w="108" w:type="dxa"/>
                  <w:bottom w:w="0" w:type="dxa"/>
                  <w:right w:w="108" w:type="dxa"/>
                </w:tblCellMar>
              </w:tblPrEx>
              <w:trPr>
                <w:trHeight w:val="502" w:hRule="exac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序号</w:t>
                  </w:r>
                </w:p>
              </w:tc>
              <w:tc>
                <w:tcPr>
                  <w:tcW w:w="0" w:type="auto"/>
                  <w:tcBorders>
                    <w:top w:val="single" w:color="auto" w:sz="4" w:space="0"/>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 w:val="18"/>
                      <w:szCs w:val="18"/>
                    </w:rPr>
                    <w:t>代码码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费用名称</w:t>
                  </w:r>
                </w:p>
              </w:tc>
              <w:tc>
                <w:tcPr>
                  <w:tcW w:w="0" w:type="auto"/>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计算基数</w:t>
                  </w:r>
                </w:p>
              </w:tc>
              <w:tc>
                <w:tcPr>
                  <w:tcW w:w="0" w:type="auto"/>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费率(%)</w:t>
                  </w:r>
                </w:p>
              </w:tc>
              <w:tc>
                <w:tcPr>
                  <w:tcW w:w="0" w:type="auto"/>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备注</w:t>
                  </w:r>
                </w:p>
              </w:tc>
            </w:tr>
            <w:tr>
              <w:tblPrEx>
                <w:tblCellMar>
                  <w:top w:w="0" w:type="dxa"/>
                  <w:left w:w="108" w:type="dxa"/>
                  <w:bottom w:w="0" w:type="dxa"/>
                  <w:right w:w="108" w:type="dxa"/>
                </w:tblCellMar>
              </w:tblPrEx>
              <w:trPr>
                <w:trHeight w:val="567" w:hRule="exac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一</w:t>
                  </w:r>
                </w:p>
              </w:tc>
              <w:tc>
                <w:tcPr>
                  <w:tcW w:w="0" w:type="auto"/>
                  <w:tcBorders>
                    <w:top w:val="nil"/>
                    <w:left w:val="nil"/>
                    <w:bottom w:val="single" w:color="auto" w:sz="4" w:space="0"/>
                    <w:right w:val="nil"/>
                  </w:tcBorders>
                </w:tcPr>
                <w:p>
                  <w:pPr>
                    <w:widowControl/>
                    <w:jc w:val="lef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直接费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A+B</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56" w:hRule="exac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（一）</w:t>
                  </w:r>
                </w:p>
              </w:tc>
              <w:tc>
                <w:tcPr>
                  <w:tcW w:w="0" w:type="auto"/>
                  <w:tcBorders>
                    <w:top w:val="nil"/>
                    <w:left w:val="nil"/>
                    <w:bottom w:val="single" w:color="auto" w:sz="4" w:space="0"/>
                    <w:right w:val="nil"/>
                  </w:tcBorders>
                </w:tcPr>
                <w:p>
                  <w:pPr>
                    <w:widowControl/>
                    <w:jc w:val="lef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xml:space="preserve"> A</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直接工程费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A1+A2+A3</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284"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A1</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定额人工费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p>
              </w:tc>
              <w:tc>
                <w:tcPr>
                  <w:tcW w:w="0" w:type="auto"/>
                  <w:vMerge w:val="restart"/>
                  <w:tcBorders>
                    <w:top w:val="nil"/>
                    <w:left w:val="nil"/>
                    <w:bottom w:val="single" w:color="auto" w:sz="4" w:space="0"/>
                    <w:right w:val="single" w:color="auto" w:sz="4" w:space="0"/>
                  </w:tcBorders>
                  <w:vAlign w:val="center"/>
                </w:tcPr>
                <w:p>
                  <w:pPr>
                    <w:widowControl/>
                    <w:rPr>
                      <w:rFonts w:ascii="宋体" w:hAnsi="宋体" w:cs="宋体"/>
                      <w:color w:val="000000" w:themeColor="text1"/>
                      <w:kern w:val="0"/>
                      <w:szCs w:val="21"/>
                    </w:rPr>
                  </w:pPr>
                  <w:r>
                    <w:rPr>
                      <w:rFonts w:hint="eastAsia" w:ascii="宋体" w:hAnsi="宋体"/>
                      <w:color w:val="000000" w:themeColor="text1"/>
                      <w:sz w:val="18"/>
                      <w:szCs w:val="18"/>
                      <w:highlight w:val="yellow"/>
                    </w:rPr>
                    <w:t>执行中国石化建〔2014〕321号动态调整文件</w:t>
                  </w:r>
                  <w:r>
                    <w:rPr>
                      <w:rFonts w:hint="eastAsia" w:ascii="宋体" w:hAnsi="宋体"/>
                      <w:b/>
                      <w:color w:val="000000" w:themeColor="text1"/>
                      <w:sz w:val="18"/>
                      <w:szCs w:val="18"/>
                      <w:highlight w:val="yellow"/>
                    </w:rPr>
                    <w:t>和中国石化建〔2016〕307号</w:t>
                  </w:r>
                </w:p>
              </w:tc>
            </w:tr>
            <w:tr>
              <w:tblPrEx>
                <w:tblCellMar>
                  <w:top w:w="0" w:type="dxa"/>
                  <w:left w:w="108" w:type="dxa"/>
                  <w:bottom w:w="0" w:type="dxa"/>
                  <w:right w:w="108" w:type="dxa"/>
                </w:tblCellMar>
              </w:tblPrEx>
              <w:trPr>
                <w:trHeight w:val="505" w:hRule="exac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w:t>
                  </w:r>
                </w:p>
              </w:tc>
              <w:tc>
                <w:tcPr>
                  <w:tcW w:w="0" w:type="auto"/>
                  <w:tcBorders>
                    <w:top w:val="single" w:color="auto" w:sz="4" w:space="0"/>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A2</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材料费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p>
              </w:tc>
              <w:tc>
                <w:tcPr>
                  <w:tcW w:w="0" w:type="auto"/>
                  <w:gridSpan w:val="2"/>
                  <w:tcBorders>
                    <w:top w:val="nil"/>
                    <w:left w:val="nil"/>
                    <w:bottom w:val="single" w:color="auto" w:sz="4" w:space="0"/>
                    <w:right w:val="single" w:color="auto" w:sz="4" w:space="0"/>
                  </w:tcBorders>
                  <w:noWrap/>
                  <w:vAlign w:val="center"/>
                </w:tcPr>
                <w:p>
                  <w:pPr>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428" w:hRule="exac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3</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A3</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施工机械使用费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p>
              </w:tc>
              <w:tc>
                <w:tcPr>
                  <w:tcW w:w="0" w:type="auto"/>
                  <w:gridSpan w:val="2"/>
                  <w:tcBorders>
                    <w:top w:val="nil"/>
                    <w:left w:val="nil"/>
                    <w:bottom w:val="single" w:color="auto" w:sz="4" w:space="0"/>
                    <w:right w:val="single" w:color="auto" w:sz="4" w:space="0"/>
                  </w:tcBorders>
                  <w:noWrap/>
                  <w:vAlign w:val="center"/>
                </w:tcPr>
                <w:p>
                  <w:pPr>
                    <w:jc w:val="right"/>
                    <w:rPr>
                      <w:rFonts w:ascii="宋体" w:hAnsi="宋体" w:cs="宋体"/>
                      <w:color w:val="000000" w:themeColor="text1"/>
                      <w:kern w:val="0"/>
                      <w:szCs w:val="21"/>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560" w:hRule="exac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(二)</w:t>
                  </w:r>
                </w:p>
              </w:tc>
              <w:tc>
                <w:tcPr>
                  <w:tcW w:w="0" w:type="auto"/>
                  <w:tcBorders>
                    <w:top w:val="single" w:color="auto" w:sz="4" w:space="0"/>
                    <w:left w:val="nil"/>
                    <w:bottom w:val="single" w:color="auto" w:sz="4" w:space="0"/>
                    <w:right w:val="nil"/>
                  </w:tcBorders>
                </w:tcPr>
                <w:p>
                  <w:pPr>
                    <w:widowControl/>
                    <w:jc w:val="left"/>
                    <w:rPr>
                      <w:rFonts w:ascii="宋体" w:hAnsi="宋体" w:cs="宋体"/>
                      <w:color w:val="000000" w:themeColor="text1"/>
                      <w:kern w:val="0"/>
                      <w:sz w:val="18"/>
                      <w:szCs w:val="18"/>
                    </w:rPr>
                  </w:pPr>
                </w:p>
              </w:tc>
              <w:tc>
                <w:tcPr>
                  <w:tcW w:w="0" w:type="auto"/>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B</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措施费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68"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4</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文明施工、环境保护费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0.79</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49"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5</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B2</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临时设施费（距离基地25公里以内）</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ascii="宋体" w:hAnsi="宋体" w:cs="宋体"/>
                      <w:color w:val="000000" w:themeColor="text1"/>
                      <w:kern w:val="0"/>
                      <w:sz w:val="18"/>
                      <w:szCs w:val="18"/>
                    </w:rPr>
                    <w:t>0.00</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70"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6</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B3</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冬雨季施工增加费（三类地区）</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64"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7</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B4</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二次搬运费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58"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8</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B5</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生产工具用具使用费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1.34</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66"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9</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B6</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夜间施工增加费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74"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10</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B7</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工程定位复测、点交、场地清理费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w:t>
                  </w:r>
                  <w:r>
                    <w:rPr>
                      <w:rFonts w:ascii="宋体" w:hAnsi="宋体" w:cs="宋体"/>
                      <w:color w:val="000000" w:themeColor="text1"/>
                      <w:kern w:val="0"/>
                      <w:sz w:val="18"/>
                      <w:szCs w:val="18"/>
                    </w:rPr>
                    <w:t>00</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54"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11</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B8</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校验试验费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w:t>
                  </w:r>
                  <w:r>
                    <w:rPr>
                      <w:rFonts w:ascii="宋体" w:hAnsi="宋体" w:cs="宋体"/>
                      <w:color w:val="000000" w:themeColor="text1"/>
                      <w:kern w:val="0"/>
                      <w:sz w:val="18"/>
                      <w:szCs w:val="18"/>
                    </w:rPr>
                    <w:t>0</w:t>
                  </w:r>
                  <w:r>
                    <w:rPr>
                      <w:rFonts w:hint="eastAsia" w:ascii="宋体" w:hAnsi="宋体" w:cs="宋体"/>
                      <w:color w:val="000000" w:themeColor="text1"/>
                      <w:kern w:val="0"/>
                      <w:sz w:val="18"/>
                      <w:szCs w:val="18"/>
                    </w:rPr>
                    <w:t>0</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76"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12</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B9</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已完工程及设备保护费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570"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13</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B10</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建预制加工厂增加费</w:t>
                  </w:r>
                </w:p>
              </w:tc>
              <w:tc>
                <w:tcPr>
                  <w:tcW w:w="0" w:type="auto"/>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kern w:val="0"/>
                      <w:szCs w:val="21"/>
                    </w:rPr>
                  </w:pPr>
                </w:p>
              </w:tc>
              <w:tc>
                <w:tcPr>
                  <w:tcW w:w="0" w:type="auto"/>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564"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14</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B11</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在有害身体健康环境中施工保健费</w:t>
                  </w:r>
                </w:p>
              </w:tc>
              <w:tc>
                <w:tcPr>
                  <w:tcW w:w="0" w:type="auto"/>
                  <w:tcBorders>
                    <w:top w:val="single" w:color="auto" w:sz="4" w:space="0"/>
                    <w:left w:val="nil"/>
                    <w:bottom w:val="single" w:color="auto" w:sz="4" w:space="0"/>
                    <w:right w:val="single" w:color="auto" w:sz="4" w:space="0"/>
                  </w:tcBorders>
                  <w:vAlign w:val="center"/>
                </w:tcPr>
                <w:p>
                  <w:pPr>
                    <w:jc w:val="left"/>
                    <w:rPr>
                      <w:rFonts w:ascii="宋体" w:hAnsi="宋体" w:cs="宋体"/>
                      <w:color w:val="000000" w:themeColor="text1"/>
                      <w:kern w:val="0"/>
                      <w:szCs w:val="21"/>
                    </w:rPr>
                  </w:pPr>
                </w:p>
              </w:tc>
              <w:tc>
                <w:tcPr>
                  <w:tcW w:w="0" w:type="auto"/>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single" w:color="auto" w:sz="4" w:space="0"/>
                    <w:left w:val="nil"/>
                    <w:bottom w:val="single" w:color="auto" w:sz="4" w:space="0"/>
                    <w:right w:val="single" w:color="auto" w:sz="4" w:space="0"/>
                  </w:tcBorders>
                  <w:vAlign w:val="center"/>
                </w:tcPr>
                <w:p>
                  <w:pPr>
                    <w:jc w:val="lef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558"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15</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B12 2</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特殊地区施工增加费</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566"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16</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B13 13</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特殊工种技术培训费</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418"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17</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B14 14</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特殊技术措施费</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p>
              </w:tc>
              <w:tc>
                <w:tcPr>
                  <w:tcW w:w="0" w:type="auto"/>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1011" w:hRule="atLeas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18</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B15 B15</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大型机械进出场及安拆费</w:t>
                  </w:r>
                </w:p>
              </w:tc>
              <w:tc>
                <w:tcPr>
                  <w:tcW w:w="0" w:type="auto"/>
                  <w:gridSpan w:val="4"/>
                  <w:vMerge w:val="restart"/>
                  <w:tcBorders>
                    <w:top w:val="single" w:color="auto" w:sz="4" w:space="0"/>
                    <w:left w:val="nil"/>
                    <w:bottom w:val="single" w:color="auto" w:sz="4" w:space="0"/>
                    <w:right w:val="single" w:color="auto" w:sz="4" w:space="0"/>
                  </w:tcBorders>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执行2007年《江苏省机械台班费用定额》，人工、燃料可调整以08《规范签证表格形式确认</w:t>
                  </w:r>
                </w:p>
              </w:tc>
            </w:tr>
            <w:tr>
              <w:tblPrEx>
                <w:tblCellMar>
                  <w:top w:w="0" w:type="dxa"/>
                  <w:left w:w="108" w:type="dxa"/>
                  <w:bottom w:w="0" w:type="dxa"/>
                  <w:right w:w="108" w:type="dxa"/>
                </w:tblCellMar>
              </w:tblPrEx>
              <w:trPr>
                <w:trHeight w:val="550"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19</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B16 16</w:t>
                  </w:r>
                </w:p>
              </w:tc>
              <w:tc>
                <w:tcPr>
                  <w:tcW w:w="0" w:type="auto"/>
                  <w:tcBorders>
                    <w:top w:val="nil"/>
                    <w:left w:val="nil"/>
                    <w:bottom w:val="single" w:color="auto" w:sz="4" w:space="0"/>
                    <w:right w:val="single" w:color="auto" w:sz="4" w:space="0"/>
                  </w:tcBorders>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大型机械使用费</w:t>
                  </w:r>
                </w:p>
              </w:tc>
              <w:tc>
                <w:tcPr>
                  <w:tcW w:w="0" w:type="auto"/>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p>
              </w:tc>
            </w:tr>
            <w:tr>
              <w:tblPrEx>
                <w:tblCellMar>
                  <w:top w:w="0" w:type="dxa"/>
                  <w:left w:w="108" w:type="dxa"/>
                  <w:bottom w:w="0" w:type="dxa"/>
                  <w:right w:w="108" w:type="dxa"/>
                </w:tblCellMar>
              </w:tblPrEx>
              <w:trPr>
                <w:trHeight w:val="571" w:hRule="exact"/>
              </w:trPr>
              <w:tc>
                <w:tcPr>
                  <w:tcW w:w="0" w:type="auto"/>
                  <w:tcBorders>
                    <w:top w:val="nil"/>
                    <w:left w:val="single" w:color="auto" w:sz="4" w:space="0"/>
                    <w:bottom w:val="single" w:color="auto" w:sz="4" w:space="0"/>
                    <w:right w:val="single" w:color="auto" w:sz="4" w:space="0"/>
                  </w:tcBorders>
                  <w:noWrap/>
                  <w:vAlign w:val="center"/>
                </w:tcPr>
                <w:p>
                  <w:pPr>
                    <w:widowControl/>
                    <w:ind w:right="360"/>
                    <w:jc w:val="center"/>
                    <w:rPr>
                      <w:rFonts w:ascii="宋体" w:hAnsi="宋体" w:cs="宋体"/>
                      <w:color w:val="000000" w:themeColor="text1"/>
                      <w:kern w:val="0"/>
                      <w:szCs w:val="21"/>
                    </w:rPr>
                  </w:pPr>
                  <w:r>
                    <w:rPr>
                      <w:rFonts w:hint="eastAsia" w:ascii="宋体" w:hAnsi="宋体" w:cs="宋体"/>
                      <w:color w:val="000000" w:themeColor="text1"/>
                      <w:kern w:val="0"/>
                      <w:sz w:val="18"/>
                      <w:szCs w:val="18"/>
                    </w:rPr>
                    <w:t>二</w:t>
                  </w:r>
                </w:p>
              </w:tc>
              <w:tc>
                <w:tcPr>
                  <w:tcW w:w="0" w:type="auto"/>
                  <w:tcBorders>
                    <w:top w:val="nil"/>
                    <w:left w:val="nil"/>
                    <w:bottom w:val="single" w:color="auto" w:sz="4" w:space="0"/>
                    <w:right w:val="nil"/>
                  </w:tcBorders>
                </w:tcPr>
                <w:p>
                  <w:pPr>
                    <w:widowControl/>
                    <w:jc w:val="right"/>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 w:val="18"/>
                      <w:szCs w:val="18"/>
                    </w:rPr>
                    <w:t>C</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企业管理费（距基地25公里以内）</w:t>
                  </w:r>
                </w:p>
              </w:tc>
              <w:tc>
                <w:tcPr>
                  <w:tcW w:w="0" w:type="auto"/>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A1/70.46*39.81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50.52</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345" w:hRule="exac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三</w:t>
                  </w:r>
                </w:p>
              </w:tc>
              <w:tc>
                <w:tcPr>
                  <w:tcW w:w="0" w:type="auto"/>
                  <w:tcBorders>
                    <w:top w:val="nil"/>
                    <w:left w:val="nil"/>
                    <w:bottom w:val="single" w:color="auto" w:sz="4" w:space="0"/>
                    <w:right w:val="nil"/>
                  </w:tcBorders>
                </w:tcPr>
                <w:p>
                  <w:pPr>
                    <w:widowControl/>
                    <w:jc w:val="left"/>
                    <w:rPr>
                      <w:rFonts w:ascii="宋体" w:hAnsi="宋体" w:cs="宋体"/>
                      <w:color w:val="000000" w:themeColor="text1"/>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D</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Cs w:val="21"/>
                    </w:rPr>
                    <w:t>优惠</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b/>
                      <w:color w:val="000000" w:themeColor="text1"/>
                      <w:kern w:val="0"/>
                      <w:szCs w:val="21"/>
                    </w:rPr>
                  </w:pPr>
                  <w:r>
                    <w:rPr>
                      <w:rFonts w:hint="eastAsia" w:ascii="宋体" w:hAnsi="宋体" w:cs="宋体"/>
                      <w:b/>
                      <w:color w:val="000000" w:themeColor="text1"/>
                      <w:kern w:val="0"/>
                      <w:szCs w:val="21"/>
                      <w:highlight w:val="yellow"/>
                    </w:rPr>
                    <w:t>A+B+C</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Cs w:val="21"/>
                    </w:rPr>
                    <w:t>优惠率</w:t>
                  </w:r>
                </w:p>
              </w:tc>
              <w:tc>
                <w:tcPr>
                  <w:tcW w:w="0" w:type="auto"/>
                  <w:tcBorders>
                    <w:top w:val="nil"/>
                    <w:left w:val="nil"/>
                    <w:bottom w:val="single" w:color="auto" w:sz="4" w:space="0"/>
                    <w:right w:val="single" w:color="auto" w:sz="4" w:space="0"/>
                  </w:tcBorders>
                  <w:noWrap/>
                  <w:vAlign w:val="center"/>
                </w:tcPr>
                <w:p>
                  <w:pPr>
                    <w:widowControl/>
                    <w:ind w:right="420"/>
                    <w:jc w:val="center"/>
                    <w:rPr>
                      <w:rFonts w:ascii="宋体" w:hAnsi="宋体" w:cs="宋体"/>
                      <w:color w:val="000000" w:themeColor="text1"/>
                      <w:kern w:val="0"/>
                      <w:szCs w:val="21"/>
                      <w:u w:val="single"/>
                    </w:rPr>
                  </w:pPr>
                  <w:r>
                    <w:rPr>
                      <w:rFonts w:hint="eastAsia" w:ascii="宋体" w:hAnsi="宋体" w:cs="宋体"/>
                      <w:color w:val="000000" w:themeColor="text1"/>
                      <w:kern w:val="0"/>
                      <w:szCs w:val="21"/>
                      <w:u w:val="single"/>
                    </w:rPr>
                    <w:t>%</w:t>
                  </w:r>
                </w:p>
              </w:tc>
            </w:tr>
            <w:tr>
              <w:tblPrEx>
                <w:tblCellMar>
                  <w:top w:w="0" w:type="dxa"/>
                  <w:left w:w="108" w:type="dxa"/>
                  <w:bottom w:w="0" w:type="dxa"/>
                  <w:right w:w="108" w:type="dxa"/>
                </w:tblCellMar>
              </w:tblPrEx>
              <w:trPr>
                <w:trHeight w:val="465" w:hRule="exact"/>
              </w:trPr>
              <w:tc>
                <w:tcPr>
                  <w:tcW w:w="0" w:type="auto"/>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四</w:t>
                  </w:r>
                </w:p>
              </w:tc>
              <w:tc>
                <w:tcPr>
                  <w:tcW w:w="0" w:type="auto"/>
                  <w:tcBorders>
                    <w:top w:val="single" w:color="auto" w:sz="4" w:space="0"/>
                    <w:left w:val="nil"/>
                    <w:bottom w:val="single" w:color="auto" w:sz="4" w:space="0"/>
                    <w:right w:val="nil"/>
                  </w:tcBorders>
                </w:tcPr>
                <w:p>
                  <w:pPr>
                    <w:jc w:val="left"/>
                    <w:rPr>
                      <w:rFonts w:ascii="宋体" w:hAnsi="宋体" w:cs="宋体"/>
                      <w:color w:val="000000" w:themeColor="text1"/>
                      <w:kern w:val="0"/>
                      <w:sz w:val="18"/>
                      <w:szCs w:val="18"/>
                    </w:rPr>
                  </w:pPr>
                </w:p>
              </w:tc>
              <w:tc>
                <w:tcPr>
                  <w:tcW w:w="0" w:type="auto"/>
                  <w:tcBorders>
                    <w:top w:val="single" w:color="auto" w:sz="4" w:space="0"/>
                    <w:left w:val="nil"/>
                    <w:bottom w:val="single" w:color="auto" w:sz="4" w:space="0"/>
                    <w:right w:val="single" w:color="auto" w:sz="4" w:space="0"/>
                  </w:tcBorders>
                  <w:noWrap/>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E</w:t>
                  </w:r>
                </w:p>
              </w:tc>
              <w:tc>
                <w:tcPr>
                  <w:tcW w:w="0" w:type="auto"/>
                  <w:tcBorders>
                    <w:top w:val="single" w:color="auto" w:sz="4" w:space="0"/>
                    <w:left w:val="nil"/>
                    <w:bottom w:val="single" w:color="auto" w:sz="4" w:space="0"/>
                    <w:right w:val="single" w:color="auto" w:sz="4" w:space="0"/>
                  </w:tcBorders>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规费</w:t>
                  </w:r>
                </w:p>
              </w:tc>
              <w:tc>
                <w:tcPr>
                  <w:tcW w:w="0" w:type="auto"/>
                  <w:gridSpan w:val="2"/>
                  <w:tcBorders>
                    <w:top w:val="single" w:color="auto" w:sz="4" w:space="0"/>
                    <w:left w:val="nil"/>
                    <w:bottom w:val="single" w:color="auto" w:sz="4" w:space="0"/>
                    <w:right w:val="single" w:color="auto" w:sz="4" w:space="0"/>
                  </w:tcBorders>
                  <w:noWrap/>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E1~E8</w:t>
                  </w:r>
                </w:p>
              </w:tc>
              <w:tc>
                <w:tcPr>
                  <w:tcW w:w="0" w:type="auto"/>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0" w:type="auto"/>
                  <w:tcBorders>
                    <w:top w:val="single" w:color="auto" w:sz="4" w:space="0"/>
                    <w:left w:val="nil"/>
                    <w:bottom w:val="single" w:color="auto" w:sz="4" w:space="0"/>
                    <w:right w:val="single" w:color="auto" w:sz="4" w:space="0"/>
                  </w:tcBorders>
                  <w:noWrap/>
                  <w:vAlign w:val="center"/>
                </w:tcPr>
                <w:p>
                  <w:pPr>
                    <w:widowControl/>
                    <w:wordWrap w:val="0"/>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90" w:hRule="exact"/>
              </w:trPr>
              <w:tc>
                <w:tcPr>
                  <w:tcW w:w="0" w:type="auto"/>
                  <w:tcBorders>
                    <w:top w:val="nil"/>
                    <w:left w:val="single" w:color="auto" w:sz="4" w:space="0"/>
                    <w:bottom w:val="single" w:color="auto" w:sz="4" w:space="0"/>
                    <w:right w:val="single" w:color="auto" w:sz="4" w:space="0"/>
                  </w:tcBorders>
                  <w:noWrap/>
                  <w:vAlign w:val="center"/>
                </w:tcPr>
                <w:p>
                  <w:pPr>
                    <w:widowControl/>
                    <w:ind w:firstLine="360" w:firstLineChars="200"/>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21</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ind w:firstLine="90" w:firstLineChars="50"/>
                    <w:rPr>
                      <w:rFonts w:ascii="宋体" w:hAnsi="宋体" w:cs="宋体"/>
                      <w:color w:val="000000" w:themeColor="text1"/>
                      <w:kern w:val="0"/>
                      <w:szCs w:val="21"/>
                    </w:rPr>
                  </w:pPr>
                  <w:r>
                    <w:rPr>
                      <w:rFonts w:hint="eastAsia" w:ascii="宋体" w:hAnsi="宋体" w:cs="宋体"/>
                      <w:color w:val="000000" w:themeColor="text1"/>
                      <w:kern w:val="0"/>
                      <w:sz w:val="18"/>
                      <w:szCs w:val="18"/>
                    </w:rPr>
                    <w:t xml:space="preserve">E1  </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养老保险费</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26.37</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70"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22</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E2</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失业保险费</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2.51</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64"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color w:val="000000" w:themeColor="text1"/>
                      <w:kern w:val="0"/>
                      <w:szCs w:val="21"/>
                    </w:rPr>
                  </w:pPr>
                  <w:r>
                    <w:rPr>
                      <w:rFonts w:hint="eastAsia" w:ascii="宋体" w:hAnsi="宋体" w:cs="宋体"/>
                      <w:b/>
                      <w:color w:val="000000" w:themeColor="text1"/>
                      <w:kern w:val="0"/>
                      <w:sz w:val="18"/>
                      <w:szCs w:val="18"/>
                    </w:rPr>
                    <w:t>23</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E3</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医疗保险费</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xml:space="preserve">8.79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58"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color w:val="000000" w:themeColor="text1"/>
                      <w:kern w:val="0"/>
                      <w:szCs w:val="21"/>
                    </w:rPr>
                  </w:pPr>
                  <w:r>
                    <w:rPr>
                      <w:rFonts w:hint="eastAsia" w:ascii="宋体" w:hAnsi="宋体" w:cs="宋体"/>
                      <w:b/>
                      <w:color w:val="000000" w:themeColor="text1"/>
                      <w:kern w:val="0"/>
                      <w:sz w:val="18"/>
                      <w:szCs w:val="18"/>
                    </w:rPr>
                    <w:t>24</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E4</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生育保险费</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xml:space="preserve">0.88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66"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25</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E5</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工伤保险费</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1.26</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74"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26</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E6</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危险作业意外伤害保险费</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xml:space="preserve">1.13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54"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27</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E7</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住房公积金</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xml:space="preserve">15.07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CellMar>
                  <w:top w:w="0" w:type="dxa"/>
                  <w:left w:w="108" w:type="dxa"/>
                  <w:bottom w:w="0" w:type="dxa"/>
                  <w:right w:w="108" w:type="dxa"/>
                </w:tblCellMar>
              </w:tblPrEx>
              <w:trPr>
                <w:trHeight w:val="576"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28</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E8</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工程排污费</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508" w:hRule="exact"/>
              </w:trPr>
              <w:tc>
                <w:tcPr>
                  <w:tcW w:w="0" w:type="auto"/>
                  <w:tcBorders>
                    <w:top w:val="nil"/>
                    <w:left w:val="single" w:color="auto" w:sz="4" w:space="0"/>
                    <w:bottom w:val="single" w:color="auto" w:sz="4" w:space="0"/>
                    <w:right w:val="single" w:color="auto" w:sz="4" w:space="0"/>
                  </w:tcBorders>
                  <w:noWrap/>
                  <w:vAlign w:val="center"/>
                </w:tcPr>
                <w:p>
                  <w:pPr>
                    <w:widowControl/>
                    <w:ind w:right="360"/>
                    <w:jc w:val="center"/>
                    <w:rPr>
                      <w:rFonts w:ascii="宋体" w:hAnsi="宋体" w:cs="宋体"/>
                      <w:color w:val="000000" w:themeColor="text1"/>
                      <w:kern w:val="0"/>
                      <w:szCs w:val="21"/>
                    </w:rPr>
                  </w:pPr>
                  <w:r>
                    <w:rPr>
                      <w:rFonts w:hint="eastAsia" w:ascii="宋体" w:hAnsi="宋体" w:cs="宋体"/>
                      <w:color w:val="000000" w:themeColor="text1"/>
                      <w:kern w:val="0"/>
                      <w:sz w:val="18"/>
                      <w:szCs w:val="18"/>
                    </w:rPr>
                    <w:t>五</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F</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利润</w:t>
                  </w: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A1/70.46*39.81*(1-优惠率)</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ascii="宋体" w:hAnsi="宋体" w:cs="宋体"/>
                      <w:color w:val="000000" w:themeColor="text1"/>
                      <w:kern w:val="0"/>
                      <w:sz w:val="18"/>
                      <w:szCs w:val="18"/>
                    </w:rPr>
                    <w:t>8</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438"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六</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G</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安全生产费</w:t>
                  </w:r>
                </w:p>
              </w:tc>
              <w:tc>
                <w:tcPr>
                  <w:tcW w:w="0" w:type="auto"/>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olor w:val="000000" w:themeColor="text1"/>
                      <w:sz w:val="18"/>
                      <w:szCs w:val="18"/>
                    </w:rPr>
                    <w:t>按财政部财企〔2012〕16号文件规定计算</w:t>
                  </w:r>
                </w:p>
              </w:tc>
            </w:tr>
            <w:tr>
              <w:tblPrEx>
                <w:tblCellMar>
                  <w:top w:w="0" w:type="dxa"/>
                  <w:left w:w="108" w:type="dxa"/>
                  <w:bottom w:w="0" w:type="dxa"/>
                  <w:right w:w="108" w:type="dxa"/>
                </w:tblCellMar>
              </w:tblPrEx>
              <w:trPr>
                <w:trHeight w:val="436"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七</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H</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不含增值税安装工程费</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一+二-三+四+五+六</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p>
              </w:tc>
            </w:tr>
            <w:tr>
              <w:tblPrEx>
                <w:tblCellMar>
                  <w:top w:w="0" w:type="dxa"/>
                  <w:left w:w="108" w:type="dxa"/>
                  <w:bottom w:w="0" w:type="dxa"/>
                  <w:right w:w="108" w:type="dxa"/>
                </w:tblCellMar>
              </w:tblPrEx>
              <w:trPr>
                <w:trHeight w:val="435" w:hRule="exact"/>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八</w:t>
                  </w:r>
                </w:p>
              </w:tc>
              <w:tc>
                <w:tcPr>
                  <w:tcW w:w="0" w:type="auto"/>
                  <w:tcBorders>
                    <w:top w:val="nil"/>
                    <w:left w:val="nil"/>
                    <w:bottom w:val="single" w:color="auto" w:sz="4" w:space="0"/>
                    <w:right w:val="nil"/>
                  </w:tcBorders>
                </w:tcPr>
                <w:p>
                  <w:pPr>
                    <w:widowControl/>
                    <w:jc w:val="center"/>
                    <w:rPr>
                      <w:rFonts w:ascii="宋体" w:hAnsi="宋体" w:cs="宋体"/>
                      <w:color w:val="000000" w:themeColor="text1"/>
                      <w:kern w:val="0"/>
                      <w:sz w:val="18"/>
                      <w:szCs w:val="18"/>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I</w:t>
                  </w:r>
                </w:p>
              </w:tc>
              <w:tc>
                <w:tcPr>
                  <w:tcW w:w="0" w:type="auto"/>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增值税</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七*税率</w:t>
                  </w:r>
                </w:p>
              </w:tc>
              <w:tc>
                <w:tcPr>
                  <w:tcW w:w="0" w:type="auto"/>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9.00</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一般计税法</w:t>
                  </w:r>
                </w:p>
              </w:tc>
            </w:tr>
            <w:tr>
              <w:tblPrEx>
                <w:tblCellMar>
                  <w:top w:w="0" w:type="dxa"/>
                  <w:left w:w="108" w:type="dxa"/>
                  <w:bottom w:w="0" w:type="dxa"/>
                  <w:right w:w="108" w:type="dxa"/>
                </w:tblCellMar>
              </w:tblPrEx>
              <w:trPr>
                <w:trHeight w:val="568" w:hRule="exact"/>
              </w:trPr>
              <w:tc>
                <w:tcPr>
                  <w:tcW w:w="0" w:type="auto"/>
                  <w:tcBorders>
                    <w:top w:val="single" w:color="auto" w:sz="4" w:space="0"/>
                    <w:left w:val="single" w:color="auto" w:sz="4" w:space="0"/>
                    <w:bottom w:val="single" w:color="000000" w:themeColor="text1" w:sz="4" w:space="0"/>
                    <w:right w:val="single" w:color="auto" w:sz="4" w:space="0"/>
                  </w:tcBorders>
                  <w:noWrap/>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九</w:t>
                  </w:r>
                </w:p>
              </w:tc>
              <w:tc>
                <w:tcPr>
                  <w:tcW w:w="0" w:type="auto"/>
                  <w:tcBorders>
                    <w:top w:val="single" w:color="auto" w:sz="4" w:space="0"/>
                    <w:left w:val="nil"/>
                    <w:bottom w:val="single" w:color="000000" w:themeColor="text1" w:sz="4" w:space="0"/>
                    <w:right w:val="nil"/>
                  </w:tcBorders>
                </w:tcPr>
                <w:p>
                  <w:pPr>
                    <w:jc w:val="center"/>
                    <w:rPr>
                      <w:rFonts w:ascii="宋体" w:hAnsi="宋体" w:cs="宋体"/>
                      <w:color w:val="000000" w:themeColor="text1"/>
                      <w:kern w:val="0"/>
                      <w:sz w:val="18"/>
                      <w:szCs w:val="18"/>
                    </w:rPr>
                  </w:pPr>
                </w:p>
              </w:tc>
              <w:tc>
                <w:tcPr>
                  <w:tcW w:w="0" w:type="auto"/>
                  <w:tcBorders>
                    <w:top w:val="single" w:color="auto" w:sz="4" w:space="0"/>
                    <w:left w:val="nil"/>
                    <w:bottom w:val="single" w:color="000000" w:themeColor="text1" w:sz="4" w:space="0"/>
                    <w:right w:val="single" w:color="auto" w:sz="4" w:space="0"/>
                  </w:tcBorders>
                  <w:noWrap/>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J</w:t>
                  </w:r>
                </w:p>
              </w:tc>
              <w:tc>
                <w:tcPr>
                  <w:tcW w:w="0" w:type="auto"/>
                  <w:tcBorders>
                    <w:top w:val="single" w:color="auto" w:sz="4" w:space="0"/>
                    <w:left w:val="nil"/>
                    <w:bottom w:val="single" w:color="000000" w:themeColor="text1" w:sz="4" w:space="0"/>
                    <w:right w:val="single" w:color="auto" w:sz="4" w:space="0"/>
                  </w:tcBorders>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含增值税安装工程费</w:t>
                  </w:r>
                </w:p>
              </w:tc>
              <w:tc>
                <w:tcPr>
                  <w:tcW w:w="0" w:type="auto"/>
                  <w:tcBorders>
                    <w:top w:val="single" w:color="auto" w:sz="4" w:space="0"/>
                    <w:left w:val="nil"/>
                    <w:bottom w:val="single" w:color="000000" w:themeColor="text1" w:sz="4" w:space="0"/>
                    <w:right w:val="single" w:color="auto" w:sz="4" w:space="0"/>
                  </w:tcBorders>
                  <w:noWrap/>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七+八</w:t>
                  </w:r>
                </w:p>
              </w:tc>
              <w:tc>
                <w:tcPr>
                  <w:tcW w:w="0" w:type="auto"/>
                  <w:gridSpan w:val="2"/>
                  <w:tcBorders>
                    <w:top w:val="single" w:color="auto" w:sz="4" w:space="0"/>
                    <w:left w:val="nil"/>
                    <w:bottom w:val="single" w:color="000000" w:themeColor="text1" w:sz="4" w:space="0"/>
                    <w:right w:val="single" w:color="auto" w:sz="4" w:space="0"/>
                  </w:tcBorders>
                  <w:noWrap/>
                  <w:vAlign w:val="center"/>
                </w:tcPr>
                <w:p>
                  <w:pPr>
                    <w:jc w:val="right"/>
                    <w:rPr>
                      <w:rFonts w:ascii="宋体" w:hAnsi="宋体" w:cs="宋体"/>
                      <w:color w:val="000000" w:themeColor="text1"/>
                      <w:kern w:val="0"/>
                      <w:sz w:val="18"/>
                      <w:szCs w:val="18"/>
                    </w:rPr>
                  </w:pPr>
                </w:p>
              </w:tc>
              <w:tc>
                <w:tcPr>
                  <w:tcW w:w="0" w:type="auto"/>
                  <w:tcBorders>
                    <w:top w:val="single" w:color="auto" w:sz="4" w:space="0"/>
                    <w:left w:val="nil"/>
                    <w:bottom w:val="single" w:color="000000" w:themeColor="text1" w:sz="4" w:space="0"/>
                    <w:right w:val="single" w:color="auto" w:sz="4" w:space="0"/>
                  </w:tcBorders>
                  <w:noWrap/>
                  <w:vAlign w:val="center"/>
                </w:tcPr>
                <w:p>
                  <w:pPr>
                    <w:jc w:val="right"/>
                    <w:rPr>
                      <w:rFonts w:ascii="宋体" w:hAnsi="宋体" w:cs="宋体"/>
                      <w:color w:val="000000" w:themeColor="text1"/>
                      <w:kern w:val="0"/>
                      <w:sz w:val="18"/>
                      <w:szCs w:val="18"/>
                    </w:rPr>
                  </w:pPr>
                </w:p>
              </w:tc>
            </w:tr>
          </w:tbl>
          <w:p>
            <w:pPr>
              <w:widowControl/>
              <w:jc w:val="left"/>
              <w:rPr>
                <w:rFonts w:ascii="宋体" w:hAnsi="宋体" w:cs="宋体"/>
                <w:color w:val="000000" w:themeColor="text1"/>
                <w:kern w:val="0"/>
                <w:szCs w:val="21"/>
              </w:rPr>
            </w:pPr>
          </w:p>
        </w:tc>
      </w:tr>
    </w:tbl>
    <w:p>
      <w:pPr>
        <w:rPr>
          <w:rFonts w:ascii="宋体" w:hAnsi="宋体" w:cs="宋体"/>
          <w:color w:val="000000" w:themeColor="text1"/>
          <w:kern w:val="0"/>
          <w:szCs w:val="21"/>
        </w:rPr>
      </w:pPr>
    </w:p>
    <w:p>
      <w:pPr>
        <w:rPr>
          <w:rFonts w:ascii="宋体" w:hAnsi="宋体" w:cs="宋体"/>
          <w:color w:val="000000" w:themeColor="text1"/>
          <w:kern w:val="0"/>
          <w:szCs w:val="21"/>
        </w:rPr>
      </w:pPr>
      <w:r>
        <w:rPr>
          <w:rFonts w:hint="eastAsia" w:ascii="宋体" w:hAnsi="宋体" w:cs="宋体"/>
          <w:color w:val="000000" w:themeColor="text1"/>
          <w:kern w:val="0"/>
          <w:szCs w:val="21"/>
        </w:rPr>
        <w:t>(仅适用石油化工安装工程预算定额</w:t>
      </w:r>
    </w:p>
    <w:p>
      <w:pPr>
        <w:pStyle w:val="103"/>
        <w:numPr>
          <w:ilvl w:val="0"/>
          <w:numId w:val="4"/>
        </w:numPr>
        <w:spacing w:line="240" w:lineRule="auto"/>
        <w:ind w:firstLineChars="0"/>
        <w:rPr>
          <w:color w:val="000000" w:themeColor="text1"/>
          <w:highlight w:val="yellow"/>
        </w:rPr>
      </w:pPr>
      <w:r>
        <w:rPr>
          <w:rFonts w:hint="eastAsia"/>
          <w:color w:val="000000" w:themeColor="text1"/>
        </w:rPr>
        <w:t>人工费由原39.81元/工日调整为</w:t>
      </w:r>
      <w:r>
        <w:rPr>
          <w:rFonts w:hint="eastAsia"/>
          <w:color w:val="000000" w:themeColor="text1"/>
          <w:highlight w:val="yellow"/>
        </w:rPr>
        <w:t>70.46元/工日。</w:t>
      </w:r>
    </w:p>
    <w:p>
      <w:pPr>
        <w:pStyle w:val="103"/>
        <w:numPr>
          <w:ilvl w:val="0"/>
          <w:numId w:val="4"/>
        </w:numPr>
        <w:spacing w:line="240" w:lineRule="auto"/>
        <w:ind w:firstLineChars="0"/>
        <w:rPr>
          <w:color w:val="000000" w:themeColor="text1"/>
        </w:rPr>
      </w:pPr>
      <w:r>
        <w:rPr>
          <w:rFonts w:hint="eastAsia"/>
          <w:color w:val="000000" w:themeColor="text1"/>
        </w:rPr>
        <w:t>定额材料费和机械费按分册综合系数调整为不含税费用，综合调整系数见“关于“营改增”实施后调整石油化工工程建设计价依据的通知（中国石化建【2016】307号文件）。综合调整系数适用《关于2014年动态调整石油化工安装工程预算定额及费用定额的通知》（中国石化建【2014】321号）。</w:t>
      </w:r>
    </w:p>
    <w:p>
      <w:pPr>
        <w:pStyle w:val="103"/>
        <w:numPr>
          <w:ilvl w:val="0"/>
          <w:numId w:val="4"/>
        </w:numPr>
        <w:spacing w:line="240" w:lineRule="auto"/>
        <w:ind w:firstLineChars="0"/>
        <w:rPr>
          <w:color w:val="000000" w:themeColor="text1"/>
          <w:szCs w:val="21"/>
        </w:rPr>
      </w:pPr>
      <w:r>
        <w:rPr>
          <w:rFonts w:hint="eastAsia" w:ascii="宋体" w:hAnsi="宋体" w:cs="宋体"/>
          <w:color w:val="000000" w:themeColor="text1"/>
          <w:kern w:val="0"/>
          <w:szCs w:val="21"/>
        </w:rPr>
        <w:t>冬雨季施工增加费、夜间施工增加费、二次搬运费取消，如果项目现场施工过程发生相关费用时按程序及时办理签证可以结算。</w:t>
      </w:r>
    </w:p>
    <w:p>
      <w:pPr>
        <w:pStyle w:val="103"/>
        <w:numPr>
          <w:ilvl w:val="0"/>
          <w:numId w:val="4"/>
        </w:numPr>
        <w:spacing w:line="240" w:lineRule="auto"/>
        <w:ind w:firstLineChars="0"/>
        <w:rPr>
          <w:color w:val="000000" w:themeColor="text1"/>
          <w:szCs w:val="21"/>
        </w:rPr>
      </w:pPr>
      <w:r>
        <w:rPr>
          <w:rFonts w:hint="eastAsia" w:ascii="宋体" w:hAnsi="宋体" w:cs="宋体"/>
          <w:color w:val="000000" w:themeColor="text1"/>
          <w:kern w:val="0"/>
          <w:szCs w:val="21"/>
        </w:rPr>
        <w:t>点工参照苏建函价（201</w:t>
      </w:r>
      <w:r>
        <w:rPr>
          <w:rFonts w:ascii="宋体" w:hAnsi="宋体" w:cs="宋体"/>
          <w:color w:val="000000" w:themeColor="text1"/>
          <w:kern w:val="0"/>
          <w:szCs w:val="21"/>
        </w:rPr>
        <w:t>8</w:t>
      </w:r>
      <w:r>
        <w:rPr>
          <w:rFonts w:hint="eastAsia" w:ascii="宋体" w:hAnsi="宋体" w:cs="宋体"/>
          <w:color w:val="000000" w:themeColor="text1"/>
          <w:kern w:val="0"/>
          <w:szCs w:val="21"/>
        </w:rPr>
        <w:t>）</w:t>
      </w:r>
      <w:r>
        <w:rPr>
          <w:rFonts w:ascii="宋体" w:hAnsi="宋体" w:cs="宋体"/>
          <w:color w:val="000000" w:themeColor="text1"/>
          <w:kern w:val="0"/>
          <w:szCs w:val="21"/>
        </w:rPr>
        <w:t>761</w:t>
      </w:r>
      <w:r>
        <w:rPr>
          <w:rFonts w:hint="eastAsia" w:ascii="宋体" w:hAnsi="宋体" w:cs="宋体"/>
          <w:color w:val="000000" w:themeColor="text1"/>
          <w:kern w:val="0"/>
          <w:szCs w:val="21"/>
        </w:rPr>
        <w:t>号文执行。</w:t>
      </w:r>
    </w:p>
    <w:tbl>
      <w:tblPr>
        <w:tblStyle w:val="60"/>
        <w:tblW w:w="5000" w:type="pct"/>
        <w:tblInd w:w="-216" w:type="dxa"/>
        <w:tblLayout w:type="autofit"/>
        <w:tblCellMar>
          <w:top w:w="0" w:type="dxa"/>
          <w:left w:w="108" w:type="dxa"/>
          <w:bottom w:w="0" w:type="dxa"/>
          <w:right w:w="108" w:type="dxa"/>
        </w:tblCellMar>
      </w:tblPr>
      <w:tblGrid>
        <w:gridCol w:w="8738"/>
      </w:tblGrid>
      <w:tr>
        <w:tblPrEx>
          <w:tblCellMar>
            <w:top w:w="0" w:type="dxa"/>
            <w:left w:w="108" w:type="dxa"/>
            <w:bottom w:w="0" w:type="dxa"/>
            <w:right w:w="108" w:type="dxa"/>
          </w:tblCellMar>
        </w:tblPrEx>
        <w:trPr>
          <w:trHeight w:val="285" w:hRule="atLeast"/>
        </w:trPr>
        <w:tc>
          <w:tcPr>
            <w:tcW w:w="5000" w:type="pct"/>
          </w:tcPr>
          <w:tbl>
            <w:tblPr>
              <w:tblStyle w:val="60"/>
              <w:tblpPr w:leftFromText="180" w:rightFromText="180" w:vertAnchor="page" w:horzAnchor="margin" w:tblpY="1"/>
              <w:tblOverlap w:val="never"/>
              <w:tblW w:w="9491" w:type="dxa"/>
              <w:tblInd w:w="0" w:type="dxa"/>
              <w:tblLayout w:type="autofit"/>
              <w:tblCellMar>
                <w:top w:w="0" w:type="dxa"/>
                <w:left w:w="108" w:type="dxa"/>
                <w:bottom w:w="0" w:type="dxa"/>
                <w:right w:w="108" w:type="dxa"/>
              </w:tblCellMar>
            </w:tblPr>
            <w:tblGrid>
              <w:gridCol w:w="9491"/>
            </w:tblGrid>
            <w:tr>
              <w:tblPrEx>
                <w:tblCellMar>
                  <w:top w:w="0" w:type="dxa"/>
                  <w:left w:w="108" w:type="dxa"/>
                  <w:bottom w:w="0" w:type="dxa"/>
                  <w:right w:w="108" w:type="dxa"/>
                </w:tblCellMar>
              </w:tblPrEx>
              <w:trPr>
                <w:trHeight w:val="80" w:hRule="atLeast"/>
              </w:trPr>
              <w:tc>
                <w:tcPr>
                  <w:tcW w:w="5000" w:type="pct"/>
                  <w:tcBorders>
                    <w:top w:val="nil"/>
                    <w:left w:val="nil"/>
                    <w:bottom w:val="single" w:color="auto" w:sz="8" w:space="0"/>
                    <w:right w:val="nil"/>
                  </w:tcBorders>
                  <w:vAlign w:val="center"/>
                </w:tcPr>
                <w:p>
                  <w:pPr>
                    <w:widowControl/>
                    <w:jc w:val="left"/>
                    <w:rPr>
                      <w:rFonts w:ascii="宋体" w:hAnsi="宋体" w:cs="宋体"/>
                      <w:color w:val="000000" w:themeColor="text1"/>
                      <w:kern w:val="0"/>
                      <w:szCs w:val="21"/>
                    </w:rPr>
                  </w:pPr>
                </w:p>
              </w:tc>
            </w:tr>
          </w:tbl>
          <w:p>
            <w:pPr>
              <w:rPr>
                <w:color w:val="000000" w:themeColor="text1"/>
              </w:rPr>
            </w:pPr>
          </w:p>
          <w:p>
            <w:pPr>
              <w:jc w:val="center"/>
              <w:rPr>
                <w:rFonts w:ascii="楷体_GB2312" w:hAnsi="宋体" w:eastAsia="楷体_GB2312" w:cs="宋体"/>
                <w:bCs/>
                <w:color w:val="000000" w:themeColor="text1"/>
                <w:kern w:val="0"/>
                <w:sz w:val="30"/>
                <w:szCs w:val="30"/>
              </w:rPr>
            </w:pPr>
            <w:r>
              <w:rPr>
                <w:rFonts w:hint="eastAsia" w:ascii="楷体_GB2312" w:hAnsi="宋体" w:eastAsia="楷体_GB2312" w:cs="宋体"/>
                <w:bCs/>
                <w:color w:val="000000" w:themeColor="text1"/>
                <w:kern w:val="0"/>
                <w:sz w:val="30"/>
                <w:szCs w:val="30"/>
              </w:rPr>
              <w:t xml:space="preserve">     检维修工程计价程序表</w:t>
            </w:r>
          </w:p>
          <w:p>
            <w:pPr>
              <w:widowControl/>
              <w:snapToGrid w:val="0"/>
              <w:jc w:val="left"/>
              <w:rPr>
                <w:rFonts w:ascii="楷体_GB2312" w:hAnsi="宋体" w:eastAsia="楷体_GB2312"/>
                <w:color w:val="000000" w:themeColor="text1"/>
                <w:szCs w:val="21"/>
                <w:u w:val="single"/>
              </w:rPr>
            </w:pPr>
            <w:r>
              <w:rPr>
                <w:rFonts w:hint="eastAsia" w:ascii="楷体_GB2312" w:hAnsi="宋体" w:eastAsia="楷体_GB2312" w:cs="宋体"/>
                <w:color w:val="000000" w:themeColor="text1"/>
                <w:kern w:val="0"/>
                <w:szCs w:val="21"/>
              </w:rPr>
              <w:t>工程名称：</w:t>
            </w:r>
          </w:p>
          <w:tbl>
            <w:tblPr>
              <w:tblStyle w:val="60"/>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21"/>
              <w:gridCol w:w="592"/>
              <w:gridCol w:w="1808"/>
              <w:gridCol w:w="1857"/>
              <w:gridCol w:w="428"/>
              <w:gridCol w:w="948"/>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75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序号</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 w:val="18"/>
                      <w:szCs w:val="18"/>
                    </w:rPr>
                    <w:t>代码码</w:t>
                  </w:r>
                </w:p>
              </w:tc>
              <w:tc>
                <w:tcPr>
                  <w:tcW w:w="199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费用名称</w:t>
                  </w:r>
                </w:p>
              </w:tc>
              <w:tc>
                <w:tcPr>
                  <w:tcW w:w="2525" w:type="dxa"/>
                  <w:gridSpan w:val="2"/>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计算基数</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费率(%)</w:t>
                  </w:r>
                </w:p>
              </w:tc>
              <w:tc>
                <w:tcPr>
                  <w:tcW w:w="2038"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75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一</w:t>
                  </w:r>
                </w:p>
              </w:tc>
              <w:tc>
                <w:tcPr>
                  <w:tcW w:w="222" w:type="dxa"/>
                </w:tcPr>
                <w:p>
                  <w:pPr>
                    <w:widowControl/>
                    <w:jc w:val="left"/>
                    <w:rPr>
                      <w:rFonts w:ascii="宋体" w:hAnsi="宋体" w:cs="宋体"/>
                      <w:color w:val="000000" w:themeColor="text1"/>
                      <w:kern w:val="0"/>
                      <w:sz w:val="18"/>
                      <w:szCs w:val="18"/>
                    </w:rPr>
                  </w:pPr>
                </w:p>
              </w:tc>
              <w:tc>
                <w:tcPr>
                  <w:tcW w:w="57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直接费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A+B</w:t>
                  </w:r>
                </w:p>
              </w:tc>
              <w:tc>
                <w:tcPr>
                  <w:tcW w:w="1033"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（一）</w:t>
                  </w:r>
                </w:p>
              </w:tc>
              <w:tc>
                <w:tcPr>
                  <w:tcW w:w="222" w:type="dxa"/>
                </w:tcPr>
                <w:p>
                  <w:pPr>
                    <w:widowControl/>
                    <w:jc w:val="left"/>
                    <w:rPr>
                      <w:rFonts w:ascii="宋体" w:hAnsi="宋体" w:cs="宋体"/>
                      <w:color w:val="000000" w:themeColor="text1"/>
                      <w:kern w:val="0"/>
                      <w:sz w:val="18"/>
                      <w:szCs w:val="18"/>
                    </w:rPr>
                  </w:pPr>
                </w:p>
              </w:tc>
              <w:tc>
                <w:tcPr>
                  <w:tcW w:w="57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xml:space="preserve"> A</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直接工程费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A1+A2+A3</w:t>
                  </w:r>
                </w:p>
              </w:tc>
              <w:tc>
                <w:tcPr>
                  <w:tcW w:w="1033"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A1</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定额人工费</w:t>
                  </w:r>
                </w:p>
              </w:tc>
              <w:tc>
                <w:tcPr>
                  <w:tcW w:w="2525" w:type="dxa"/>
                  <w:gridSpan w:val="2"/>
                  <w:noWrap/>
                  <w:vAlign w:val="center"/>
                </w:tcPr>
                <w:p>
                  <w:pPr>
                    <w:widowControl/>
                    <w:jc w:val="left"/>
                    <w:rPr>
                      <w:rFonts w:ascii="宋体" w:hAnsi="宋体" w:cs="宋体"/>
                      <w:color w:val="000000" w:themeColor="text1"/>
                      <w:kern w:val="0"/>
                      <w:szCs w:val="21"/>
                    </w:rPr>
                  </w:pPr>
                </w:p>
              </w:tc>
              <w:tc>
                <w:tcPr>
                  <w:tcW w:w="1033" w:type="dxa"/>
                  <w:noWrap/>
                  <w:vAlign w:val="center"/>
                </w:tcPr>
                <w:p>
                  <w:pPr>
                    <w:widowControl/>
                    <w:jc w:val="right"/>
                    <w:rPr>
                      <w:rFonts w:ascii="宋体" w:hAnsi="宋体" w:cs="宋体"/>
                      <w:color w:val="000000" w:themeColor="text1"/>
                      <w:kern w:val="0"/>
                      <w:szCs w:val="21"/>
                    </w:rPr>
                  </w:pPr>
                </w:p>
              </w:tc>
              <w:tc>
                <w:tcPr>
                  <w:tcW w:w="2038" w:type="dxa"/>
                  <w:vMerge w:val="restart"/>
                  <w:vAlign w:val="center"/>
                </w:tcPr>
                <w:p>
                  <w:pPr>
                    <w:widowControl/>
                    <w:rPr>
                      <w:rFonts w:ascii="宋体" w:hAnsi="宋体" w:cs="宋体"/>
                      <w:color w:val="000000" w:themeColor="text1"/>
                      <w:kern w:val="0"/>
                      <w:szCs w:val="21"/>
                    </w:rPr>
                  </w:pPr>
                  <w:r>
                    <w:rPr>
                      <w:rFonts w:hint="eastAsia" w:ascii="宋体" w:hAnsi="宋体"/>
                      <w:color w:val="000000" w:themeColor="text1"/>
                      <w:sz w:val="18"/>
                      <w:szCs w:val="18"/>
                      <w:highlight w:val="yellow"/>
                    </w:rPr>
                    <w:t>执行中国石化建〔2014〕322号动态调整文件和中国石化建〔2016〕369号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A2</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材料费</w:t>
                  </w:r>
                </w:p>
              </w:tc>
              <w:tc>
                <w:tcPr>
                  <w:tcW w:w="2525" w:type="dxa"/>
                  <w:gridSpan w:val="2"/>
                  <w:noWrap/>
                  <w:vAlign w:val="center"/>
                </w:tcPr>
                <w:p>
                  <w:pPr>
                    <w:widowControl/>
                    <w:jc w:val="left"/>
                    <w:rPr>
                      <w:rFonts w:ascii="宋体" w:hAnsi="宋体" w:cs="宋体"/>
                      <w:color w:val="000000" w:themeColor="text1"/>
                      <w:kern w:val="0"/>
                      <w:szCs w:val="21"/>
                    </w:rPr>
                  </w:pPr>
                </w:p>
              </w:tc>
              <w:tc>
                <w:tcPr>
                  <w:tcW w:w="1033" w:type="dxa"/>
                  <w:noWrap/>
                  <w:vAlign w:val="center"/>
                </w:tcPr>
                <w:p>
                  <w:pPr>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2038" w:type="dxa"/>
                  <w:vMerge w:val="continue"/>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3</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A3</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施工机械使用费</w:t>
                  </w:r>
                </w:p>
              </w:tc>
              <w:tc>
                <w:tcPr>
                  <w:tcW w:w="2525" w:type="dxa"/>
                  <w:gridSpan w:val="2"/>
                  <w:noWrap/>
                  <w:vAlign w:val="center"/>
                </w:tcPr>
                <w:p>
                  <w:pPr>
                    <w:widowControl/>
                    <w:jc w:val="left"/>
                    <w:rPr>
                      <w:rFonts w:ascii="宋体" w:hAnsi="宋体" w:cs="宋体"/>
                      <w:color w:val="000000" w:themeColor="text1"/>
                      <w:kern w:val="0"/>
                      <w:szCs w:val="21"/>
                    </w:rPr>
                  </w:pPr>
                </w:p>
              </w:tc>
              <w:tc>
                <w:tcPr>
                  <w:tcW w:w="1033" w:type="dxa"/>
                  <w:noWrap/>
                  <w:vAlign w:val="center"/>
                </w:tcPr>
                <w:p>
                  <w:pPr>
                    <w:jc w:val="right"/>
                    <w:rPr>
                      <w:rFonts w:ascii="宋体" w:hAnsi="宋体" w:cs="宋体"/>
                      <w:color w:val="000000" w:themeColor="text1"/>
                      <w:kern w:val="0"/>
                      <w:szCs w:val="21"/>
                    </w:rPr>
                  </w:pPr>
                </w:p>
              </w:tc>
              <w:tc>
                <w:tcPr>
                  <w:tcW w:w="2038" w:type="dxa"/>
                  <w:vMerge w:val="continue"/>
                  <w:vAlign w:val="center"/>
                </w:tcPr>
                <w:p>
                  <w:pPr>
                    <w:widowControl/>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75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(二)</w:t>
                  </w:r>
                </w:p>
              </w:tc>
              <w:tc>
                <w:tcPr>
                  <w:tcW w:w="222" w:type="dxa"/>
                </w:tcPr>
                <w:p>
                  <w:pPr>
                    <w:widowControl/>
                    <w:jc w:val="left"/>
                    <w:rPr>
                      <w:rFonts w:ascii="宋体" w:hAnsi="宋体" w:cs="宋体"/>
                      <w:color w:val="000000" w:themeColor="text1"/>
                      <w:kern w:val="0"/>
                      <w:sz w:val="18"/>
                      <w:szCs w:val="18"/>
                    </w:rPr>
                  </w:pPr>
                </w:p>
              </w:tc>
              <w:tc>
                <w:tcPr>
                  <w:tcW w:w="57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B</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措施费</w:t>
                  </w:r>
                </w:p>
              </w:tc>
              <w:tc>
                <w:tcPr>
                  <w:tcW w:w="2525" w:type="dxa"/>
                  <w:gridSpan w:val="2"/>
                  <w:noWrap/>
                  <w:vAlign w:val="center"/>
                </w:tcPr>
                <w:p>
                  <w:pPr>
                    <w:widowControl/>
                    <w:jc w:val="left"/>
                    <w:rPr>
                      <w:rFonts w:ascii="宋体" w:hAnsi="宋体" w:cs="宋体"/>
                      <w:color w:val="000000" w:themeColor="text1"/>
                      <w:kern w:val="0"/>
                      <w:szCs w:val="21"/>
                    </w:rPr>
                  </w:pPr>
                </w:p>
              </w:tc>
              <w:tc>
                <w:tcPr>
                  <w:tcW w:w="1033"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4</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文明施工、环境保护费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2.42</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5</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B2</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临时设施费（距离基地25公里以内）</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w:t>
                  </w:r>
                </w:p>
              </w:tc>
              <w:tc>
                <w:tcPr>
                  <w:tcW w:w="1033" w:type="dxa"/>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 w:val="18"/>
                      <w:szCs w:val="18"/>
                    </w:rPr>
                    <w:t>0.00</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6</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B3</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二次搬运费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7</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B4</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生产工具用具使用费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1.73</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8</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B5</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夜间施工增加费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9</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B6</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检验试验费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w:t>
                  </w:r>
                  <w:r>
                    <w:rPr>
                      <w:rFonts w:ascii="宋体" w:hAnsi="宋体" w:cs="宋体"/>
                      <w:color w:val="000000" w:themeColor="text1"/>
                      <w:kern w:val="0"/>
                      <w:sz w:val="18"/>
                      <w:szCs w:val="18"/>
                    </w:rPr>
                    <w:t>00</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10</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B7</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特殊地区施工增加费</w:t>
                  </w:r>
                </w:p>
              </w:tc>
              <w:tc>
                <w:tcPr>
                  <w:tcW w:w="2525" w:type="dxa"/>
                  <w:gridSpan w:val="2"/>
                  <w:noWrap/>
                  <w:vAlign w:val="center"/>
                </w:tcPr>
                <w:p>
                  <w:pPr>
                    <w:widowControl/>
                    <w:jc w:val="left"/>
                    <w:rPr>
                      <w:rFonts w:ascii="宋体" w:hAnsi="宋体" w:cs="宋体"/>
                      <w:color w:val="000000" w:themeColor="text1"/>
                      <w:kern w:val="0"/>
                      <w:szCs w:val="21"/>
                    </w:rPr>
                  </w:pP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11</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B8</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大型机械进出场及安拆费</w:t>
                  </w:r>
                </w:p>
              </w:tc>
              <w:tc>
                <w:tcPr>
                  <w:tcW w:w="2525" w:type="dxa"/>
                  <w:gridSpan w:val="2"/>
                  <w:noWrap/>
                  <w:vAlign w:val="center"/>
                </w:tcPr>
                <w:p>
                  <w:pPr>
                    <w:widowControl/>
                    <w:jc w:val="left"/>
                    <w:rPr>
                      <w:rFonts w:ascii="宋体" w:hAnsi="宋体" w:cs="宋体"/>
                      <w:color w:val="000000" w:themeColor="text1"/>
                      <w:kern w:val="0"/>
                      <w:szCs w:val="21"/>
                    </w:rPr>
                  </w:pP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12</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B9</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大型机械使用费</w:t>
                  </w:r>
                </w:p>
              </w:tc>
              <w:tc>
                <w:tcPr>
                  <w:tcW w:w="2525" w:type="dxa"/>
                  <w:gridSpan w:val="2"/>
                  <w:vAlign w:val="center"/>
                </w:tcPr>
                <w:p>
                  <w:pPr>
                    <w:jc w:val="center"/>
                    <w:rPr>
                      <w:rFonts w:ascii="宋体" w:hAnsi="宋体" w:cs="宋体"/>
                      <w:color w:val="000000" w:themeColor="text1"/>
                      <w:kern w:val="0"/>
                      <w:szCs w:val="21"/>
                    </w:rPr>
                  </w:pPr>
                </w:p>
              </w:tc>
              <w:tc>
                <w:tcPr>
                  <w:tcW w:w="10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vAlign w:val="center"/>
                </w:tcPr>
                <w:p>
                  <w:pPr>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13</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B100</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施工队伍调遣费</w:t>
                  </w:r>
                </w:p>
              </w:tc>
              <w:tc>
                <w:tcPr>
                  <w:tcW w:w="2525" w:type="dxa"/>
                  <w:gridSpan w:val="2"/>
                  <w:vAlign w:val="center"/>
                </w:tcPr>
                <w:p>
                  <w:pPr>
                    <w:jc w:val="center"/>
                    <w:rPr>
                      <w:rFonts w:ascii="宋体" w:hAnsi="宋体" w:cs="宋体"/>
                      <w:color w:val="000000" w:themeColor="text1"/>
                      <w:kern w:val="0"/>
                      <w:szCs w:val="21"/>
                    </w:rPr>
                  </w:pPr>
                </w:p>
              </w:tc>
              <w:tc>
                <w:tcPr>
                  <w:tcW w:w="10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vAlign w:val="center"/>
                </w:tcPr>
                <w:p>
                  <w:pPr>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14</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B11</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赶工增加费</w:t>
                  </w:r>
                </w:p>
              </w:tc>
              <w:tc>
                <w:tcPr>
                  <w:tcW w:w="2525" w:type="dxa"/>
                  <w:gridSpan w:val="2"/>
                  <w:vAlign w:val="center"/>
                </w:tcPr>
                <w:p>
                  <w:pPr>
                    <w:jc w:val="left"/>
                    <w:rPr>
                      <w:rFonts w:ascii="宋体" w:hAnsi="宋体" w:cs="宋体"/>
                      <w:color w:val="000000" w:themeColor="text1"/>
                      <w:kern w:val="0"/>
                      <w:szCs w:val="21"/>
                    </w:rPr>
                  </w:pPr>
                </w:p>
              </w:tc>
              <w:tc>
                <w:tcPr>
                  <w:tcW w:w="10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vAlign w:val="center"/>
                </w:tcPr>
                <w:p>
                  <w:pPr>
                    <w:jc w:val="lef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15</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B12 2</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施工现场围挡增加费</w:t>
                  </w:r>
                </w:p>
              </w:tc>
              <w:tc>
                <w:tcPr>
                  <w:tcW w:w="2525" w:type="dxa"/>
                  <w:gridSpan w:val="2"/>
                  <w:vAlign w:val="center"/>
                </w:tcPr>
                <w:p>
                  <w:pPr>
                    <w:widowControl/>
                    <w:jc w:val="left"/>
                    <w:rPr>
                      <w:rFonts w:ascii="宋体" w:hAnsi="宋体" w:cs="宋体"/>
                      <w:color w:val="000000" w:themeColor="text1"/>
                      <w:kern w:val="0"/>
                      <w:szCs w:val="21"/>
                    </w:rPr>
                  </w:pPr>
                </w:p>
              </w:tc>
              <w:tc>
                <w:tcPr>
                  <w:tcW w:w="10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vAlign w:val="center"/>
                </w:tcPr>
                <w:p>
                  <w:pPr>
                    <w:widowControl/>
                    <w:jc w:val="righ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16</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B13 13</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防低温、雨雪增加费</w:t>
                  </w:r>
                </w:p>
              </w:tc>
              <w:tc>
                <w:tcPr>
                  <w:tcW w:w="2525" w:type="dxa"/>
                  <w:gridSpan w:val="2"/>
                  <w:vAlign w:val="center"/>
                </w:tcPr>
                <w:p>
                  <w:pPr>
                    <w:widowControl/>
                    <w:jc w:val="left"/>
                    <w:rPr>
                      <w:rFonts w:ascii="宋体" w:hAnsi="宋体" w:cs="宋体"/>
                      <w:color w:val="000000" w:themeColor="text1"/>
                      <w:kern w:val="0"/>
                      <w:szCs w:val="21"/>
                    </w:rPr>
                  </w:pPr>
                </w:p>
              </w:tc>
              <w:tc>
                <w:tcPr>
                  <w:tcW w:w="10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vAlign w:val="center"/>
                </w:tcPr>
                <w:p>
                  <w:pPr>
                    <w:widowControl/>
                    <w:jc w:val="righ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17</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B14 14</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受害空间作业增加费</w:t>
                  </w:r>
                </w:p>
              </w:tc>
              <w:tc>
                <w:tcPr>
                  <w:tcW w:w="2525" w:type="dxa"/>
                  <w:gridSpan w:val="2"/>
                  <w:vAlign w:val="center"/>
                </w:tcPr>
                <w:p>
                  <w:pPr>
                    <w:widowControl/>
                    <w:jc w:val="left"/>
                    <w:rPr>
                      <w:rFonts w:ascii="宋体" w:hAnsi="宋体" w:cs="宋体"/>
                      <w:color w:val="000000" w:themeColor="text1"/>
                      <w:kern w:val="0"/>
                      <w:szCs w:val="21"/>
                    </w:rPr>
                  </w:pPr>
                </w:p>
              </w:tc>
              <w:tc>
                <w:tcPr>
                  <w:tcW w:w="10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vAlign w:val="center"/>
                </w:tcPr>
                <w:p>
                  <w:pPr>
                    <w:widowControl/>
                    <w:jc w:val="righ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18</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B15</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特殊防护增加费</w:t>
                  </w:r>
                </w:p>
              </w:tc>
              <w:tc>
                <w:tcPr>
                  <w:tcW w:w="2525" w:type="dxa"/>
                  <w:gridSpan w:val="2"/>
                  <w:vAlign w:val="center"/>
                </w:tcPr>
                <w:p>
                  <w:pPr>
                    <w:jc w:val="left"/>
                    <w:rPr>
                      <w:rFonts w:ascii="宋体" w:hAnsi="宋体" w:cs="宋体"/>
                      <w:color w:val="000000" w:themeColor="text1"/>
                      <w:kern w:val="0"/>
                      <w:sz w:val="18"/>
                      <w:szCs w:val="18"/>
                    </w:rPr>
                  </w:pPr>
                </w:p>
              </w:tc>
              <w:tc>
                <w:tcPr>
                  <w:tcW w:w="1033" w:type="dxa"/>
                  <w:vAlign w:val="center"/>
                </w:tcPr>
                <w:p>
                  <w:pPr>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0.00</w:t>
                  </w:r>
                </w:p>
              </w:tc>
              <w:tc>
                <w:tcPr>
                  <w:tcW w:w="2038" w:type="dxa"/>
                  <w:vAlign w:val="center"/>
                </w:tcPr>
                <w:p>
                  <w:pPr>
                    <w:jc w:val="left"/>
                    <w:rPr>
                      <w:rFonts w:ascii="宋体"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19</w:t>
                  </w:r>
                </w:p>
              </w:tc>
              <w:tc>
                <w:tcPr>
                  <w:tcW w:w="222" w:type="dxa"/>
                </w:tcPr>
                <w:p>
                  <w:pPr>
                    <w:widowControl/>
                    <w:jc w:val="center"/>
                    <w:rPr>
                      <w:rFonts w:ascii="宋体" w:hAnsi="宋体" w:cs="宋体"/>
                      <w:color w:val="000000" w:themeColor="text1"/>
                      <w:kern w:val="0"/>
                      <w:sz w:val="18"/>
                      <w:szCs w:val="18"/>
                    </w:rPr>
                  </w:pPr>
                </w:p>
              </w:tc>
              <w:tc>
                <w:tcPr>
                  <w:tcW w:w="576"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B16 16</w:t>
                  </w:r>
                </w:p>
              </w:tc>
              <w:tc>
                <w:tcPr>
                  <w:tcW w:w="1992" w:type="dxa"/>
                  <w:noWrap/>
                  <w:vAlign w:val="bottom"/>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设备保护增加费</w:t>
                  </w:r>
                </w:p>
              </w:tc>
              <w:tc>
                <w:tcPr>
                  <w:tcW w:w="2525" w:type="dxa"/>
                  <w:gridSpan w:val="2"/>
                  <w:vAlign w:val="center"/>
                </w:tcPr>
                <w:p>
                  <w:pPr>
                    <w:widowControl/>
                    <w:jc w:val="left"/>
                    <w:rPr>
                      <w:rFonts w:ascii="宋体" w:hAnsi="宋体" w:cs="宋体"/>
                      <w:color w:val="000000" w:themeColor="text1"/>
                      <w:kern w:val="0"/>
                      <w:sz w:val="18"/>
                      <w:szCs w:val="18"/>
                    </w:rPr>
                  </w:pPr>
                </w:p>
              </w:tc>
              <w:tc>
                <w:tcPr>
                  <w:tcW w:w="1033" w:type="dxa"/>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0.00</w:t>
                  </w:r>
                </w:p>
              </w:tc>
              <w:tc>
                <w:tcPr>
                  <w:tcW w:w="2038" w:type="dxa"/>
                  <w:vAlign w:val="center"/>
                </w:tcPr>
                <w:p>
                  <w:pPr>
                    <w:widowControl/>
                    <w:jc w:val="left"/>
                    <w:rPr>
                      <w:rFonts w:ascii="宋体"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756" w:type="dxa"/>
                  <w:noWrap/>
                  <w:vAlign w:val="center"/>
                </w:tcPr>
                <w:p>
                  <w:pPr>
                    <w:widowControl/>
                    <w:ind w:right="360"/>
                    <w:jc w:val="center"/>
                    <w:rPr>
                      <w:rFonts w:ascii="宋体" w:hAnsi="宋体" w:cs="宋体"/>
                      <w:color w:val="000000" w:themeColor="text1"/>
                      <w:kern w:val="0"/>
                      <w:szCs w:val="21"/>
                    </w:rPr>
                  </w:pPr>
                  <w:r>
                    <w:rPr>
                      <w:rFonts w:hint="eastAsia" w:ascii="宋体" w:hAnsi="宋体" w:cs="宋体"/>
                      <w:color w:val="000000" w:themeColor="text1"/>
                      <w:kern w:val="0"/>
                      <w:sz w:val="18"/>
                      <w:szCs w:val="18"/>
                    </w:rPr>
                    <w:t>二</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C</w:t>
                  </w:r>
                </w:p>
              </w:tc>
              <w:tc>
                <w:tcPr>
                  <w:tcW w:w="1992"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企业管理费（距基地25公里以内）</w:t>
                  </w:r>
                </w:p>
              </w:tc>
              <w:tc>
                <w:tcPr>
                  <w:tcW w:w="2525" w:type="dxa"/>
                  <w:gridSpan w:val="2"/>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A1/60.98*39.81</w:t>
                  </w:r>
                </w:p>
              </w:tc>
              <w:tc>
                <w:tcPr>
                  <w:tcW w:w="10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54.79</w:t>
                  </w:r>
                </w:p>
              </w:tc>
              <w:tc>
                <w:tcPr>
                  <w:tcW w:w="2038" w:type="dxa"/>
                  <w:vAlign w:val="center"/>
                </w:tcPr>
                <w:p>
                  <w:pPr>
                    <w:widowControl/>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75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三</w:t>
                  </w:r>
                </w:p>
              </w:tc>
              <w:tc>
                <w:tcPr>
                  <w:tcW w:w="222" w:type="dxa"/>
                </w:tcPr>
                <w:p>
                  <w:pPr>
                    <w:widowControl/>
                    <w:jc w:val="left"/>
                    <w:rPr>
                      <w:rFonts w:ascii="宋体" w:hAnsi="宋体" w:cs="宋体"/>
                      <w:color w:val="000000" w:themeColor="text1"/>
                      <w:kern w:val="0"/>
                      <w:szCs w:val="21"/>
                    </w:rPr>
                  </w:pPr>
                </w:p>
              </w:tc>
              <w:tc>
                <w:tcPr>
                  <w:tcW w:w="57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D</w:t>
                  </w:r>
                </w:p>
              </w:tc>
              <w:tc>
                <w:tcPr>
                  <w:tcW w:w="1992" w:type="dxa"/>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Cs w:val="21"/>
                    </w:rPr>
                    <w:t>优惠</w:t>
                  </w:r>
                </w:p>
              </w:tc>
              <w:tc>
                <w:tcPr>
                  <w:tcW w:w="2525" w:type="dxa"/>
                  <w:gridSpan w:val="2"/>
                  <w:noWrap/>
                  <w:vAlign w:val="center"/>
                </w:tcPr>
                <w:p>
                  <w:pPr>
                    <w:widowControl/>
                    <w:jc w:val="left"/>
                    <w:rPr>
                      <w:rFonts w:ascii="宋体" w:hAnsi="宋体" w:cs="宋体"/>
                      <w:b/>
                      <w:color w:val="000000" w:themeColor="text1"/>
                      <w:kern w:val="0"/>
                      <w:szCs w:val="21"/>
                    </w:rPr>
                  </w:pPr>
                  <w:r>
                    <w:rPr>
                      <w:rFonts w:hint="eastAsia" w:ascii="宋体" w:hAnsi="宋体" w:cs="宋体"/>
                      <w:b/>
                      <w:color w:val="000000" w:themeColor="text1"/>
                      <w:kern w:val="0"/>
                      <w:szCs w:val="21"/>
                      <w:highlight w:val="yellow"/>
                    </w:rPr>
                    <w:t>A+B+C</w:t>
                  </w:r>
                </w:p>
              </w:tc>
              <w:tc>
                <w:tcPr>
                  <w:tcW w:w="1033"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Cs w:val="21"/>
                    </w:rPr>
                    <w:t>优惠率</w:t>
                  </w:r>
                </w:p>
              </w:tc>
              <w:tc>
                <w:tcPr>
                  <w:tcW w:w="2038" w:type="dxa"/>
                  <w:noWrap/>
                  <w:vAlign w:val="center"/>
                </w:tcPr>
                <w:p>
                  <w:pPr>
                    <w:widowControl/>
                    <w:ind w:right="420"/>
                    <w:jc w:val="center"/>
                    <w:rPr>
                      <w:rFonts w:ascii="宋体" w:hAnsi="宋体" w:cs="宋体"/>
                      <w:color w:val="000000" w:themeColor="text1"/>
                      <w:kern w:val="0"/>
                      <w:szCs w:val="21"/>
                    </w:rPr>
                  </w:pPr>
                  <w:r>
                    <w:rPr>
                      <w:rFonts w:hint="eastAsia" w:ascii="宋体" w:hAnsi="宋体" w:cs="宋体"/>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trPr>
              <w:tc>
                <w:tcPr>
                  <w:tcW w:w="756" w:type="dxa"/>
                  <w:noWrap/>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四</w:t>
                  </w:r>
                </w:p>
              </w:tc>
              <w:tc>
                <w:tcPr>
                  <w:tcW w:w="222" w:type="dxa"/>
                </w:tcPr>
                <w:p>
                  <w:pPr>
                    <w:jc w:val="left"/>
                    <w:rPr>
                      <w:rFonts w:ascii="宋体" w:hAnsi="宋体" w:cs="宋体"/>
                      <w:color w:val="000000" w:themeColor="text1"/>
                      <w:kern w:val="0"/>
                      <w:sz w:val="18"/>
                      <w:szCs w:val="18"/>
                    </w:rPr>
                  </w:pPr>
                </w:p>
              </w:tc>
              <w:tc>
                <w:tcPr>
                  <w:tcW w:w="576" w:type="dxa"/>
                  <w:noWrap/>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E</w:t>
                  </w:r>
                </w:p>
              </w:tc>
              <w:tc>
                <w:tcPr>
                  <w:tcW w:w="1992" w:type="dxa"/>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规费</w:t>
                  </w:r>
                </w:p>
              </w:tc>
              <w:tc>
                <w:tcPr>
                  <w:tcW w:w="2525" w:type="dxa"/>
                  <w:gridSpan w:val="2"/>
                  <w:noWrap/>
                  <w:vAlign w:val="center"/>
                </w:tcPr>
                <w:p>
                  <w:pPr>
                    <w:jc w:val="left"/>
                    <w:rPr>
                      <w:rFonts w:ascii="宋体" w:hAnsi="宋体" w:cs="宋体"/>
                      <w:color w:val="000000" w:themeColor="text1"/>
                      <w:kern w:val="0"/>
                      <w:szCs w:val="21"/>
                    </w:rPr>
                  </w:pPr>
                  <w:r>
                    <w:rPr>
                      <w:rFonts w:hint="eastAsia" w:ascii="宋体" w:hAnsi="宋体" w:cs="宋体"/>
                      <w:color w:val="000000" w:themeColor="text1"/>
                      <w:kern w:val="0"/>
                      <w:sz w:val="18"/>
                      <w:szCs w:val="18"/>
                    </w:rPr>
                    <w:t>E1~E8</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c>
                <w:tcPr>
                  <w:tcW w:w="2038" w:type="dxa"/>
                  <w:noWrap/>
                  <w:vAlign w:val="center"/>
                </w:tcPr>
                <w:p>
                  <w:pPr>
                    <w:widowControl/>
                    <w:wordWrap w:val="0"/>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756" w:type="dxa"/>
                  <w:noWrap/>
                  <w:vAlign w:val="center"/>
                </w:tcPr>
                <w:p>
                  <w:pPr>
                    <w:widowControl/>
                    <w:ind w:firstLine="360" w:firstLineChars="200"/>
                    <w:jc w:val="left"/>
                    <w:rPr>
                      <w:rFonts w:ascii="宋体" w:hAnsi="宋体" w:cs="宋体"/>
                      <w:color w:val="000000" w:themeColor="text1"/>
                      <w:kern w:val="0"/>
                      <w:szCs w:val="21"/>
                    </w:rPr>
                  </w:pPr>
                  <w:r>
                    <w:rPr>
                      <w:rFonts w:hint="eastAsia" w:ascii="宋体" w:hAnsi="宋体" w:cs="宋体"/>
                      <w:color w:val="000000" w:themeColor="text1"/>
                      <w:kern w:val="0"/>
                      <w:sz w:val="18"/>
                      <w:szCs w:val="18"/>
                    </w:rPr>
                    <w:t>21</w:t>
                  </w:r>
                </w:p>
              </w:tc>
              <w:tc>
                <w:tcPr>
                  <w:tcW w:w="222" w:type="dxa"/>
                </w:tcPr>
                <w:p>
                  <w:pPr>
                    <w:widowControl/>
                    <w:jc w:val="left"/>
                    <w:rPr>
                      <w:rFonts w:ascii="宋体" w:hAnsi="宋体" w:cs="宋体"/>
                      <w:color w:val="000000" w:themeColor="text1"/>
                      <w:kern w:val="0"/>
                      <w:sz w:val="18"/>
                      <w:szCs w:val="18"/>
                    </w:rPr>
                  </w:pPr>
                </w:p>
              </w:tc>
              <w:tc>
                <w:tcPr>
                  <w:tcW w:w="576" w:type="dxa"/>
                  <w:noWrap/>
                  <w:vAlign w:val="center"/>
                </w:tcPr>
                <w:p>
                  <w:pPr>
                    <w:widowControl/>
                    <w:ind w:firstLine="180" w:firstLineChars="100"/>
                    <w:jc w:val="left"/>
                    <w:rPr>
                      <w:rFonts w:ascii="宋体" w:hAnsi="宋体" w:cs="宋体"/>
                      <w:color w:val="000000" w:themeColor="text1"/>
                      <w:kern w:val="0"/>
                      <w:szCs w:val="21"/>
                    </w:rPr>
                  </w:pPr>
                  <w:r>
                    <w:rPr>
                      <w:rFonts w:hint="eastAsia" w:ascii="宋体" w:hAnsi="宋体" w:cs="宋体"/>
                      <w:color w:val="000000" w:themeColor="text1"/>
                      <w:kern w:val="0"/>
                      <w:sz w:val="18"/>
                      <w:szCs w:val="18"/>
                    </w:rPr>
                    <w:t>E1</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养老保险费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25.83</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22</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E2</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失业保险费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2.46</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23</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E3</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医疗保险费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8.61</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24</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E4</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生育保险费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0.86</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25</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E5</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工伤保险费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1.23</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26</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E6</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危险作业意外伤害保险费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1.16</w:t>
                  </w:r>
                </w:p>
              </w:tc>
              <w:tc>
                <w:tcPr>
                  <w:tcW w:w="2038"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27</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E7</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住房公积金</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highlight w:val="yellow"/>
                    </w:rPr>
                  </w:pPr>
                  <w:r>
                    <w:rPr>
                      <w:rFonts w:hint="eastAsia" w:ascii="宋体" w:hAnsi="宋体" w:cs="宋体"/>
                      <w:color w:val="000000" w:themeColor="text1"/>
                      <w:kern w:val="0"/>
                      <w:sz w:val="18"/>
                      <w:szCs w:val="18"/>
                    </w:rPr>
                    <w:t>14.76</w:t>
                  </w:r>
                </w:p>
              </w:tc>
              <w:tc>
                <w:tcPr>
                  <w:tcW w:w="2038" w:type="dxa"/>
                  <w:noWrap/>
                  <w:vAlign w:val="center"/>
                </w:tcPr>
                <w:p>
                  <w:pPr>
                    <w:widowControl/>
                    <w:jc w:val="right"/>
                    <w:rPr>
                      <w:rFonts w:ascii="宋体" w:hAnsi="宋体" w:cs="宋体"/>
                      <w:color w:val="000000" w:themeColor="text1"/>
                      <w:kern w:val="0"/>
                      <w:szCs w:val="21"/>
                      <w:highlight w:val="yellow"/>
                    </w:rPr>
                  </w:pPr>
                  <w:r>
                    <w:rPr>
                      <w:rFonts w:hint="eastAsia" w:ascii="宋体" w:hAnsi="宋体" w:cs="宋体"/>
                      <w:color w:val="000000" w:themeColor="text1"/>
                      <w:kern w:val="0"/>
                      <w:sz w:val="18"/>
                      <w:szCs w:val="18"/>
                      <w:highlight w:val="yello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75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28</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E8</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工程排污费</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 w:val="18"/>
                      <w:szCs w:val="18"/>
                    </w:rPr>
                    <w:t>0.00</w:t>
                  </w:r>
                </w:p>
              </w:tc>
              <w:tc>
                <w:tcPr>
                  <w:tcW w:w="2038" w:type="dxa"/>
                  <w:noWrap/>
                  <w:vAlign w:val="center"/>
                </w:tcPr>
                <w:p>
                  <w:pPr>
                    <w:widowControl/>
                    <w:jc w:val="righ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56" w:type="dxa"/>
                  <w:noWrap/>
                  <w:vAlign w:val="center"/>
                </w:tcPr>
                <w:p>
                  <w:pPr>
                    <w:widowControl/>
                    <w:ind w:right="360"/>
                    <w:jc w:val="center"/>
                    <w:rPr>
                      <w:rFonts w:ascii="宋体" w:hAnsi="宋体" w:cs="宋体"/>
                      <w:color w:val="000000" w:themeColor="text1"/>
                      <w:kern w:val="0"/>
                      <w:szCs w:val="21"/>
                    </w:rPr>
                  </w:pPr>
                  <w:r>
                    <w:rPr>
                      <w:rFonts w:hint="eastAsia" w:ascii="宋体" w:hAnsi="宋体" w:cs="宋体"/>
                      <w:color w:val="000000" w:themeColor="text1"/>
                      <w:kern w:val="0"/>
                      <w:sz w:val="18"/>
                      <w:szCs w:val="18"/>
                    </w:rPr>
                    <w:t>五</w:t>
                  </w:r>
                </w:p>
              </w:tc>
              <w:tc>
                <w:tcPr>
                  <w:tcW w:w="222" w:type="dxa"/>
                </w:tcPr>
                <w:p>
                  <w:pPr>
                    <w:widowControl/>
                    <w:jc w:val="right"/>
                    <w:rPr>
                      <w:rFonts w:ascii="宋体" w:hAnsi="宋体" w:cs="宋体"/>
                      <w:color w:val="000000" w:themeColor="text1"/>
                      <w:kern w:val="0"/>
                      <w:sz w:val="18"/>
                      <w:szCs w:val="18"/>
                    </w:rPr>
                  </w:pPr>
                </w:p>
              </w:tc>
              <w:tc>
                <w:tcPr>
                  <w:tcW w:w="576" w:type="dxa"/>
                  <w:noWrap/>
                  <w:vAlign w:val="center"/>
                </w:tcPr>
                <w:p>
                  <w:pPr>
                    <w:widowControl/>
                    <w:jc w:val="right"/>
                    <w:rPr>
                      <w:rFonts w:ascii="宋体" w:hAnsi="宋体" w:cs="宋体"/>
                      <w:color w:val="000000" w:themeColor="text1"/>
                      <w:kern w:val="0"/>
                      <w:szCs w:val="21"/>
                    </w:rPr>
                  </w:pPr>
                  <w:r>
                    <w:rPr>
                      <w:rFonts w:hint="eastAsia" w:ascii="宋体" w:hAnsi="宋体" w:cs="宋体"/>
                      <w:color w:val="000000" w:themeColor="text1"/>
                      <w:kern w:val="0"/>
                      <w:sz w:val="18"/>
                      <w:szCs w:val="18"/>
                    </w:rPr>
                    <w:t>F</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利润</w:t>
                  </w:r>
                </w:p>
              </w:tc>
              <w:tc>
                <w:tcPr>
                  <w:tcW w:w="2525" w:type="dxa"/>
                  <w:gridSpan w:val="2"/>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A1/60.98*39.81*(1-优惠率)</w:t>
                  </w:r>
                </w:p>
              </w:tc>
              <w:tc>
                <w:tcPr>
                  <w:tcW w:w="1033" w:type="dxa"/>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 w:val="18"/>
                      <w:szCs w:val="18"/>
                    </w:rPr>
                    <w:t>8</w:t>
                  </w:r>
                </w:p>
              </w:tc>
              <w:tc>
                <w:tcPr>
                  <w:tcW w:w="2038" w:type="dxa"/>
                  <w:noWrap/>
                  <w:vAlign w:val="center"/>
                </w:tcPr>
                <w:p>
                  <w:pPr>
                    <w:widowControl/>
                    <w:jc w:val="center"/>
                    <w:rPr>
                      <w:rFonts w:ascii="宋体" w:hAnsi="宋体" w:cs="宋体"/>
                      <w:color w:val="000000" w:themeColor="text1"/>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75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六</w:t>
                  </w:r>
                </w:p>
              </w:tc>
              <w:tc>
                <w:tcPr>
                  <w:tcW w:w="222" w:type="dxa"/>
                </w:tcPr>
                <w:p>
                  <w:pPr>
                    <w:widowControl/>
                    <w:jc w:val="left"/>
                    <w:rPr>
                      <w:rFonts w:ascii="宋体" w:hAnsi="宋体" w:cs="宋体"/>
                      <w:color w:val="000000" w:themeColor="text1"/>
                      <w:kern w:val="0"/>
                      <w:sz w:val="18"/>
                      <w:szCs w:val="18"/>
                    </w:rPr>
                  </w:pPr>
                </w:p>
              </w:tc>
              <w:tc>
                <w:tcPr>
                  <w:tcW w:w="57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G</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安全生产费</w:t>
                  </w:r>
                </w:p>
              </w:tc>
              <w:tc>
                <w:tcPr>
                  <w:tcW w:w="5596" w:type="dxa"/>
                  <w:gridSpan w:val="4"/>
                  <w:noWrap/>
                  <w:vAlign w:val="center"/>
                </w:tcPr>
                <w:p>
                  <w:pPr>
                    <w:widowControl/>
                    <w:jc w:val="left"/>
                    <w:rPr>
                      <w:rFonts w:ascii="宋体" w:hAnsi="宋体" w:cs="宋体"/>
                      <w:color w:val="000000" w:themeColor="text1"/>
                      <w:kern w:val="0"/>
                      <w:szCs w:val="21"/>
                    </w:rPr>
                  </w:pPr>
                  <w:r>
                    <w:rPr>
                      <w:rFonts w:hint="eastAsia" w:ascii="宋体" w:hAnsi="宋体"/>
                      <w:color w:val="000000" w:themeColor="text1"/>
                      <w:sz w:val="18"/>
                      <w:szCs w:val="18"/>
                    </w:rPr>
                    <w:t>按财政部财企〔2012〕16号文件规定计算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75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七</w:t>
                  </w:r>
                </w:p>
              </w:tc>
              <w:tc>
                <w:tcPr>
                  <w:tcW w:w="222" w:type="dxa"/>
                </w:tcPr>
                <w:p>
                  <w:pPr>
                    <w:widowControl/>
                    <w:jc w:val="left"/>
                    <w:rPr>
                      <w:rFonts w:ascii="宋体" w:hAnsi="宋体" w:cs="宋体"/>
                      <w:color w:val="000000" w:themeColor="text1"/>
                      <w:kern w:val="0"/>
                      <w:sz w:val="18"/>
                      <w:szCs w:val="18"/>
                    </w:rPr>
                  </w:pPr>
                </w:p>
              </w:tc>
              <w:tc>
                <w:tcPr>
                  <w:tcW w:w="57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H</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不含增值税检修工程费</w:t>
                  </w:r>
                </w:p>
              </w:tc>
              <w:tc>
                <w:tcPr>
                  <w:tcW w:w="2047"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一+二-三+四+五+六</w:t>
                  </w:r>
                </w:p>
              </w:tc>
              <w:tc>
                <w:tcPr>
                  <w:tcW w:w="1511" w:type="dxa"/>
                  <w:gridSpan w:val="2"/>
                  <w:noWrap/>
                  <w:vAlign w:val="center"/>
                </w:tcPr>
                <w:p>
                  <w:pPr>
                    <w:widowControl/>
                    <w:jc w:val="right"/>
                    <w:rPr>
                      <w:rFonts w:ascii="宋体" w:hAnsi="宋体" w:cs="宋体"/>
                      <w:color w:val="000000" w:themeColor="text1"/>
                      <w:kern w:val="0"/>
                      <w:szCs w:val="21"/>
                    </w:rPr>
                  </w:pPr>
                </w:p>
              </w:tc>
              <w:tc>
                <w:tcPr>
                  <w:tcW w:w="2038" w:type="dxa"/>
                  <w:noWrap/>
                  <w:vAlign w:val="center"/>
                </w:tcPr>
                <w:p>
                  <w:pPr>
                    <w:widowControl/>
                    <w:jc w:val="right"/>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75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八</w:t>
                  </w:r>
                </w:p>
              </w:tc>
              <w:tc>
                <w:tcPr>
                  <w:tcW w:w="222" w:type="dxa"/>
                </w:tcPr>
                <w:p>
                  <w:pPr>
                    <w:widowControl/>
                    <w:jc w:val="left"/>
                    <w:rPr>
                      <w:rFonts w:ascii="宋体" w:hAnsi="宋体" w:cs="宋体"/>
                      <w:color w:val="000000" w:themeColor="text1"/>
                      <w:kern w:val="0"/>
                      <w:sz w:val="18"/>
                      <w:szCs w:val="18"/>
                    </w:rPr>
                  </w:pPr>
                </w:p>
              </w:tc>
              <w:tc>
                <w:tcPr>
                  <w:tcW w:w="576"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I</w:t>
                  </w:r>
                </w:p>
              </w:tc>
              <w:tc>
                <w:tcPr>
                  <w:tcW w:w="1992" w:type="dxa"/>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增值税</w:t>
                  </w:r>
                </w:p>
              </w:tc>
              <w:tc>
                <w:tcPr>
                  <w:tcW w:w="2047" w:type="dxa"/>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 w:val="18"/>
                      <w:szCs w:val="18"/>
                    </w:rPr>
                    <w:t>七*税率</w:t>
                  </w:r>
                </w:p>
              </w:tc>
              <w:tc>
                <w:tcPr>
                  <w:tcW w:w="1511" w:type="dxa"/>
                  <w:gridSpan w:val="2"/>
                  <w:noWrap/>
                  <w:vAlign w:val="center"/>
                </w:tcPr>
                <w:p>
                  <w:pPr>
                    <w:widowControl/>
                    <w:jc w:val="right"/>
                    <w:rPr>
                      <w:rFonts w:ascii="宋体" w:hAnsi="宋体" w:cs="宋体"/>
                      <w:color w:val="000000" w:themeColor="text1"/>
                      <w:kern w:val="0"/>
                      <w:szCs w:val="21"/>
                      <w:highlight w:val="yellow"/>
                    </w:rPr>
                  </w:pPr>
                </w:p>
              </w:tc>
              <w:tc>
                <w:tcPr>
                  <w:tcW w:w="2038" w:type="dxa"/>
                  <w:noWrap/>
                  <w:vAlign w:val="center"/>
                </w:tcPr>
                <w:p>
                  <w:pPr>
                    <w:widowControl/>
                    <w:jc w:val="center"/>
                    <w:rPr>
                      <w:rFonts w:ascii="宋体" w:hAnsi="宋体" w:cs="宋体"/>
                      <w:color w:val="000000" w:themeColor="text1"/>
                      <w:kern w:val="0"/>
                      <w:sz w:val="11"/>
                      <w:szCs w:val="11"/>
                      <w:highlight w:val="yellow"/>
                    </w:rPr>
                  </w:pPr>
                  <w:r>
                    <w:rPr>
                      <w:rFonts w:hint="eastAsia" w:ascii="宋体" w:hAnsi="宋体" w:cs="宋体"/>
                      <w:color w:val="000000" w:themeColor="text1"/>
                      <w:kern w:val="0"/>
                      <w:sz w:val="11"/>
                      <w:szCs w:val="11"/>
                      <w:highlight w:val="yellow"/>
                    </w:rPr>
                    <w:t>按项目类型（检修/改造）取定适用税率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756" w:type="dxa"/>
                  <w:noWrap/>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九</w:t>
                  </w:r>
                </w:p>
              </w:tc>
              <w:tc>
                <w:tcPr>
                  <w:tcW w:w="222" w:type="dxa"/>
                </w:tcPr>
                <w:p>
                  <w:pPr>
                    <w:jc w:val="left"/>
                    <w:rPr>
                      <w:rFonts w:ascii="宋体" w:hAnsi="宋体" w:cs="宋体"/>
                      <w:color w:val="000000" w:themeColor="text1"/>
                      <w:kern w:val="0"/>
                      <w:sz w:val="18"/>
                      <w:szCs w:val="18"/>
                    </w:rPr>
                  </w:pPr>
                </w:p>
              </w:tc>
              <w:tc>
                <w:tcPr>
                  <w:tcW w:w="576" w:type="dxa"/>
                  <w:noWrap/>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J</w:t>
                  </w:r>
                </w:p>
              </w:tc>
              <w:tc>
                <w:tcPr>
                  <w:tcW w:w="1992" w:type="dxa"/>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含增值税检修工程费</w:t>
                  </w:r>
                </w:p>
              </w:tc>
              <w:tc>
                <w:tcPr>
                  <w:tcW w:w="2047" w:type="dxa"/>
                  <w:noWrap/>
                  <w:vAlign w:val="center"/>
                </w:tcPr>
                <w:p>
                  <w:pPr>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七+八</w:t>
                  </w:r>
                </w:p>
              </w:tc>
              <w:tc>
                <w:tcPr>
                  <w:tcW w:w="1511" w:type="dxa"/>
                  <w:gridSpan w:val="2"/>
                  <w:noWrap/>
                  <w:vAlign w:val="center"/>
                </w:tcPr>
                <w:p>
                  <w:pPr>
                    <w:jc w:val="right"/>
                    <w:rPr>
                      <w:rFonts w:ascii="宋体" w:hAnsi="宋体" w:cs="宋体"/>
                      <w:color w:val="000000" w:themeColor="text1"/>
                      <w:kern w:val="0"/>
                      <w:sz w:val="18"/>
                      <w:szCs w:val="18"/>
                    </w:rPr>
                  </w:pPr>
                </w:p>
              </w:tc>
              <w:tc>
                <w:tcPr>
                  <w:tcW w:w="2038" w:type="dxa"/>
                  <w:noWrap/>
                  <w:vAlign w:val="center"/>
                </w:tcPr>
                <w:p>
                  <w:pPr>
                    <w:jc w:val="right"/>
                    <w:rPr>
                      <w:rFonts w:ascii="宋体" w:hAnsi="宋体" w:cs="宋体"/>
                      <w:color w:val="000000" w:themeColor="text1"/>
                      <w:kern w:val="0"/>
                      <w:sz w:val="18"/>
                      <w:szCs w:val="18"/>
                    </w:rPr>
                  </w:pPr>
                </w:p>
              </w:tc>
            </w:tr>
          </w:tbl>
          <w:p>
            <w:pPr>
              <w:widowControl/>
              <w:jc w:val="left"/>
              <w:rPr>
                <w:rFonts w:ascii="宋体" w:hAnsi="宋体" w:cs="宋体"/>
                <w:color w:val="000000" w:themeColor="text1"/>
                <w:kern w:val="0"/>
                <w:szCs w:val="21"/>
              </w:rPr>
            </w:pPr>
          </w:p>
        </w:tc>
      </w:tr>
    </w:tbl>
    <w:p>
      <w:pPr>
        <w:rPr>
          <w:rFonts w:ascii="宋体" w:hAnsi="宋体" w:cs="宋体"/>
          <w:color w:val="000000" w:themeColor="text1"/>
          <w:kern w:val="0"/>
          <w:szCs w:val="21"/>
        </w:rPr>
      </w:pPr>
    </w:p>
    <w:p>
      <w:pPr>
        <w:rPr>
          <w:rFonts w:ascii="宋体" w:hAnsi="宋体" w:cs="宋体"/>
          <w:color w:val="000000" w:themeColor="text1"/>
          <w:kern w:val="0"/>
          <w:szCs w:val="21"/>
        </w:rPr>
      </w:pPr>
      <w:r>
        <w:rPr>
          <w:rFonts w:hint="eastAsia" w:ascii="宋体" w:hAnsi="宋体" w:cs="宋体"/>
          <w:color w:val="000000" w:themeColor="text1"/>
          <w:kern w:val="0"/>
          <w:szCs w:val="21"/>
        </w:rPr>
        <w:t>(仅适用石油化工检修工程预算定额)</w:t>
      </w:r>
    </w:p>
    <w:p>
      <w:pPr>
        <w:rPr>
          <w:color w:val="000000" w:themeColor="text1"/>
        </w:rPr>
      </w:pPr>
      <w:r>
        <w:rPr>
          <w:rFonts w:hint="eastAsia"/>
          <w:color w:val="000000" w:themeColor="text1"/>
        </w:rPr>
        <w:t>1、人工费由原39.81元/工日调整为</w:t>
      </w:r>
      <w:r>
        <w:rPr>
          <w:rFonts w:hint="eastAsia"/>
          <w:color w:val="000000" w:themeColor="text1"/>
          <w:highlight w:val="yellow"/>
        </w:rPr>
        <w:t>60.98元/工日。</w:t>
      </w:r>
    </w:p>
    <w:p>
      <w:pPr>
        <w:rPr>
          <w:color w:val="000000" w:themeColor="text1"/>
        </w:rPr>
      </w:pPr>
      <w:r>
        <w:rPr>
          <w:rFonts w:hint="eastAsia"/>
          <w:color w:val="000000" w:themeColor="text1"/>
        </w:rPr>
        <w:t>2、定额材料费和机械费按分册综合系数调整为不含税费用，综合调整系数见“关于印发《石油化工行业检修工程预算定额》“营改增”调整办法的通知（中国石化建【2016】369号文件）。综合调整系数适用于《关于2013年动态调整石油化工行业检修工程预算定额的通知》（中国石化建【2013】53号）和《关于2014年动态调整石油化工行业检修工程预算定额的通知》（中国石化建【2014】322号）。</w:t>
      </w:r>
    </w:p>
    <w:p>
      <w:pPr>
        <w:rPr>
          <w:color w:val="000000" w:themeColor="text1"/>
          <w:szCs w:val="21"/>
        </w:rPr>
      </w:pPr>
      <w:r>
        <w:rPr>
          <w:rFonts w:hint="eastAsia" w:ascii="宋体" w:hAnsi="宋体" w:cs="宋体"/>
          <w:color w:val="000000" w:themeColor="text1"/>
          <w:kern w:val="0"/>
          <w:szCs w:val="21"/>
        </w:rPr>
        <w:t>3、二次搬运费、夜间施工增加费取消，如果项目现场施工过程发生相关费用时按程序及时办理签证可以结算。</w:t>
      </w:r>
    </w:p>
    <w:p>
      <w:pPr>
        <w:rPr>
          <w:color w:val="000000" w:themeColor="text1"/>
          <w:szCs w:val="21"/>
        </w:rPr>
      </w:pPr>
      <w:r>
        <w:rPr>
          <w:rFonts w:hint="eastAsia" w:ascii="宋体" w:hAnsi="宋体" w:cs="宋体"/>
          <w:color w:val="000000" w:themeColor="text1"/>
          <w:kern w:val="0"/>
          <w:szCs w:val="21"/>
        </w:rPr>
        <w:t>4、点工参照苏建函价（201</w:t>
      </w:r>
      <w:r>
        <w:rPr>
          <w:rFonts w:ascii="宋体" w:hAnsi="宋体" w:cs="宋体"/>
          <w:color w:val="000000" w:themeColor="text1"/>
          <w:kern w:val="0"/>
          <w:szCs w:val="21"/>
        </w:rPr>
        <w:t>8</w:t>
      </w:r>
      <w:r>
        <w:rPr>
          <w:rFonts w:hint="eastAsia" w:ascii="宋体" w:hAnsi="宋体" w:cs="宋体"/>
          <w:color w:val="000000" w:themeColor="text1"/>
          <w:kern w:val="0"/>
          <w:szCs w:val="21"/>
        </w:rPr>
        <w:t>）</w:t>
      </w:r>
      <w:r>
        <w:rPr>
          <w:rFonts w:ascii="宋体" w:hAnsi="宋体" w:cs="宋体"/>
          <w:color w:val="000000" w:themeColor="text1"/>
          <w:kern w:val="0"/>
          <w:szCs w:val="21"/>
        </w:rPr>
        <w:t>761</w:t>
      </w:r>
      <w:r>
        <w:rPr>
          <w:rFonts w:hint="eastAsia" w:ascii="宋体" w:hAnsi="宋体" w:cs="宋体"/>
          <w:color w:val="000000" w:themeColor="text1"/>
          <w:kern w:val="0"/>
          <w:szCs w:val="21"/>
        </w:rPr>
        <w:t>号文执行。</w:t>
      </w:r>
    </w:p>
    <w:p>
      <w:pPr>
        <w:pStyle w:val="103"/>
        <w:ind w:left="360" w:firstLine="0" w:firstLineChars="0"/>
        <w:rPr>
          <w:color w:val="000000" w:themeColor="text1"/>
          <w:szCs w:val="21"/>
        </w:rPr>
      </w:pPr>
    </w:p>
    <w:p>
      <w:pPr>
        <w:rPr>
          <w:color w:val="000000" w:themeColor="text1"/>
          <w:szCs w:val="2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napToGrid w:val="0"/>
        <w:jc w:val="center"/>
        <w:outlineLvl w:val="0"/>
        <w:rPr>
          <w:bCs/>
          <w:color w:val="000000" w:themeColor="text1"/>
          <w:szCs w:val="21"/>
        </w:rPr>
      </w:pPr>
      <w:bookmarkStart w:id="131" w:name="_Toc386206212"/>
      <w:bookmarkStart w:id="132" w:name="_Toc402858987"/>
      <w:bookmarkStart w:id="133" w:name="_Toc20642699"/>
      <w:r>
        <w:rPr>
          <w:rFonts w:hint="eastAsia"/>
          <w:b/>
          <w:bCs/>
          <w:color w:val="000000" w:themeColor="text1"/>
          <w:sz w:val="44"/>
          <w:szCs w:val="44"/>
        </w:rPr>
        <w:t>第四章</w:t>
      </w:r>
      <w:bookmarkStart w:id="134" w:name="_Toc296088455"/>
      <w:r>
        <w:rPr>
          <w:rFonts w:hint="eastAsia"/>
          <w:b/>
          <w:bCs/>
          <w:color w:val="000000" w:themeColor="text1"/>
          <w:sz w:val="44"/>
          <w:szCs w:val="44"/>
        </w:rPr>
        <w:t xml:space="preserve"> 评审办法</w:t>
      </w:r>
      <w:bookmarkEnd w:id="131"/>
      <w:bookmarkEnd w:id="132"/>
      <w:bookmarkEnd w:id="133"/>
      <w:bookmarkEnd w:id="134"/>
    </w:p>
    <w:p>
      <w:pPr>
        <w:keepNext/>
        <w:keepLines/>
        <w:outlineLvl w:val="1"/>
        <w:rPr>
          <w:rFonts w:ascii="Arial" w:hAnsi="Arial"/>
          <w:b/>
          <w:bCs/>
          <w:color w:val="000000" w:themeColor="text1"/>
          <w:kern w:val="0"/>
          <w:szCs w:val="32"/>
        </w:rPr>
      </w:pPr>
      <w:bookmarkStart w:id="135" w:name="_Toc475792075"/>
      <w:bookmarkStart w:id="136" w:name="_Toc20642700"/>
      <w:bookmarkStart w:id="137" w:name="_Toc526793343"/>
      <w:bookmarkStart w:id="138" w:name="_Toc319044760"/>
      <w:bookmarkStart w:id="139" w:name="_Toc321405354"/>
      <w:bookmarkStart w:id="140" w:name="_Toc319044966"/>
      <w:bookmarkStart w:id="141" w:name="_Toc167955087"/>
      <w:r>
        <w:rPr>
          <w:rFonts w:hint="eastAsia" w:ascii="Arial" w:hAnsi="Arial"/>
          <w:b/>
          <w:bCs/>
          <w:color w:val="000000" w:themeColor="text1"/>
          <w:kern w:val="0"/>
          <w:szCs w:val="32"/>
        </w:rPr>
        <w:t>1．评审</w:t>
      </w:r>
      <w:r>
        <w:rPr>
          <w:rFonts w:ascii="Arial" w:hAnsi="Arial"/>
          <w:b/>
          <w:bCs/>
          <w:color w:val="000000" w:themeColor="text1"/>
          <w:kern w:val="0"/>
          <w:szCs w:val="32"/>
        </w:rPr>
        <w:t>方法</w:t>
      </w:r>
      <w:bookmarkEnd w:id="135"/>
      <w:bookmarkEnd w:id="136"/>
      <w:bookmarkEnd w:id="137"/>
    </w:p>
    <w:p>
      <w:pPr>
        <w:ind w:firstLine="480" w:firstLineChars="200"/>
        <w:jc w:val="left"/>
        <w:outlineLvl w:val="1"/>
        <w:rPr>
          <w:rFonts w:ascii="宋体" w:hAnsi="宋体"/>
          <w:color w:val="000000" w:themeColor="text1"/>
        </w:rPr>
      </w:pPr>
      <w:bookmarkStart w:id="142" w:name="_Toc321405339"/>
      <w:r>
        <w:rPr>
          <w:rFonts w:ascii="宋体" w:hAnsi="宋体"/>
          <w:color w:val="000000" w:themeColor="text1"/>
        </w:rPr>
        <w:t>本</w:t>
      </w:r>
      <w:bookmarkEnd w:id="142"/>
      <w:bookmarkStart w:id="143" w:name="_Toc321405340"/>
      <w:r>
        <w:rPr>
          <w:rFonts w:hint="eastAsia" w:ascii="宋体" w:hAnsi="宋体"/>
          <w:color w:val="000000" w:themeColor="text1"/>
        </w:rPr>
        <w:t>次评审采用最低报价法。此次报价可进行多轮，最终按照约定的最后一轮报价高低确定成交人。优惠率最终高的前两名为第一和第二成交人。第二成交人的成交通知书约定的优惠率按照第一成交人的优惠率执行。</w:t>
      </w:r>
    </w:p>
    <w:p>
      <w:pPr>
        <w:keepNext/>
        <w:keepLines/>
        <w:outlineLvl w:val="1"/>
        <w:rPr>
          <w:rFonts w:ascii="Arial" w:hAnsi="Arial"/>
          <w:b/>
          <w:bCs/>
          <w:color w:val="000000" w:themeColor="text1"/>
          <w:kern w:val="0"/>
          <w:szCs w:val="32"/>
        </w:rPr>
      </w:pPr>
      <w:bookmarkStart w:id="144" w:name="_Toc475792076"/>
      <w:bookmarkStart w:id="145" w:name="_Toc526793344"/>
      <w:bookmarkStart w:id="146" w:name="_Toc20642701"/>
      <w:r>
        <w:rPr>
          <w:rFonts w:hint="eastAsia" w:ascii="Arial" w:hAnsi="Arial"/>
          <w:b/>
          <w:bCs/>
          <w:color w:val="000000" w:themeColor="text1"/>
          <w:kern w:val="0"/>
          <w:szCs w:val="32"/>
        </w:rPr>
        <w:t>2．</w:t>
      </w:r>
      <w:r>
        <w:rPr>
          <w:rFonts w:ascii="Arial" w:hAnsi="Arial"/>
          <w:b/>
          <w:bCs/>
          <w:color w:val="000000" w:themeColor="text1"/>
          <w:kern w:val="0"/>
          <w:szCs w:val="32"/>
        </w:rPr>
        <w:t>评审</w:t>
      </w:r>
      <w:bookmarkEnd w:id="143"/>
      <w:bookmarkEnd w:id="144"/>
      <w:r>
        <w:rPr>
          <w:rFonts w:hint="eastAsia" w:ascii="Arial" w:hAnsi="Arial"/>
          <w:b/>
          <w:bCs/>
          <w:color w:val="000000" w:themeColor="text1"/>
          <w:kern w:val="0"/>
          <w:szCs w:val="32"/>
        </w:rPr>
        <w:t>小组</w:t>
      </w:r>
      <w:bookmarkEnd w:id="145"/>
      <w:bookmarkEnd w:id="146"/>
    </w:p>
    <w:p>
      <w:pPr>
        <w:snapToGrid w:val="0"/>
        <w:ind w:firstLine="480" w:firstLineChars="200"/>
        <w:rPr>
          <w:rFonts w:ascii="宋体" w:hAnsi="宋体"/>
          <w:color w:val="000000" w:themeColor="text1"/>
        </w:rPr>
      </w:pPr>
      <w:bookmarkStart w:id="147" w:name="_Toc321405344"/>
      <w:r>
        <w:rPr>
          <w:rFonts w:hint="eastAsia" w:ascii="宋体" w:hAnsi="宋体"/>
          <w:color w:val="000000" w:themeColor="text1"/>
        </w:rPr>
        <w:t>评审小组应由采购人代表和评审专家3人及以上单数组成。评审专家由财务、审计、业务部门人员组成。</w:t>
      </w:r>
    </w:p>
    <w:bookmarkEnd w:id="147"/>
    <w:p>
      <w:pPr>
        <w:keepNext/>
        <w:keepLines/>
        <w:outlineLvl w:val="1"/>
        <w:rPr>
          <w:rFonts w:ascii="Arial" w:hAnsi="Arial"/>
          <w:b/>
          <w:bCs/>
          <w:color w:val="000000" w:themeColor="text1"/>
          <w:kern w:val="0"/>
          <w:szCs w:val="32"/>
        </w:rPr>
      </w:pPr>
      <w:bookmarkStart w:id="148" w:name="_Toc526793346"/>
      <w:bookmarkStart w:id="149" w:name="_Toc475792079"/>
      <w:bookmarkStart w:id="150" w:name="_Toc321405359"/>
      <w:bookmarkStart w:id="151" w:name="_Toc20642702"/>
      <w:r>
        <w:rPr>
          <w:rFonts w:hint="eastAsia" w:ascii="Arial" w:hAnsi="Arial"/>
          <w:b/>
          <w:bCs/>
          <w:color w:val="000000" w:themeColor="text1"/>
          <w:kern w:val="0"/>
          <w:szCs w:val="32"/>
        </w:rPr>
        <w:t>3．</w:t>
      </w:r>
      <w:bookmarkEnd w:id="148"/>
      <w:bookmarkEnd w:id="149"/>
      <w:bookmarkEnd w:id="150"/>
      <w:r>
        <w:rPr>
          <w:rFonts w:hint="eastAsia" w:ascii="Arial" w:hAnsi="Arial"/>
          <w:b/>
          <w:bCs/>
          <w:color w:val="000000" w:themeColor="text1"/>
          <w:kern w:val="0"/>
          <w:szCs w:val="32"/>
        </w:rPr>
        <w:t>初步评审及排序</w:t>
      </w:r>
      <w:bookmarkEnd w:id="151"/>
    </w:p>
    <w:p>
      <w:pPr>
        <w:ind w:firstLine="480" w:firstLineChars="200"/>
        <w:rPr>
          <w:rFonts w:ascii="宋体" w:hAnsi="宋体"/>
          <w:bCs/>
          <w:color w:val="000000" w:themeColor="text1"/>
        </w:rPr>
      </w:pPr>
      <w:bookmarkStart w:id="152" w:name="_Toc321405360"/>
      <w:r>
        <w:rPr>
          <w:rFonts w:hint="eastAsia" w:ascii="宋体" w:hAnsi="宋体"/>
          <w:bCs/>
          <w:color w:val="000000" w:themeColor="text1"/>
        </w:rPr>
        <w:t>3.1初步评审</w:t>
      </w:r>
    </w:p>
    <w:p>
      <w:pPr>
        <w:ind w:firstLine="480" w:firstLineChars="200"/>
        <w:rPr>
          <w:rFonts w:ascii="宋体" w:hAnsi="宋体"/>
          <w:bCs/>
          <w:color w:val="000000" w:themeColor="text1"/>
        </w:rPr>
      </w:pPr>
      <w:r>
        <w:rPr>
          <w:rFonts w:hint="eastAsia" w:ascii="宋体" w:hAnsi="宋体"/>
          <w:bCs/>
          <w:color w:val="000000" w:themeColor="text1"/>
        </w:rPr>
        <w:t>（1）初步评审内容、标准、依据等见附件1“初步评审标准及记录表”、附件2“初步评审标准及记录表（其他情形）（若有）”。</w:t>
      </w:r>
    </w:p>
    <w:p>
      <w:pPr>
        <w:ind w:firstLine="480" w:firstLineChars="200"/>
        <w:rPr>
          <w:rFonts w:ascii="宋体" w:hAnsi="宋体"/>
          <w:bCs/>
          <w:color w:val="000000" w:themeColor="text1"/>
        </w:rPr>
      </w:pPr>
      <w:r>
        <w:rPr>
          <w:rFonts w:hint="eastAsia" w:ascii="宋体" w:hAnsi="宋体"/>
          <w:bCs/>
          <w:color w:val="000000" w:themeColor="text1"/>
        </w:rPr>
        <w:t>（2）若第二章“承包商须知”前附表第1.3（2）项设有最高限价，需进行报价的</w:t>
      </w:r>
      <w:r>
        <w:rPr>
          <w:rFonts w:ascii="宋体" w:hAnsi="宋体"/>
          <w:color w:val="000000" w:themeColor="text1"/>
          <w:kern w:val="0"/>
        </w:rPr>
        <w:t>算术性错误分析和修正</w:t>
      </w:r>
      <w:r>
        <w:rPr>
          <w:rFonts w:hint="eastAsia" w:ascii="宋体" w:hAnsi="宋体"/>
          <w:bCs/>
          <w:color w:val="000000" w:themeColor="text1"/>
        </w:rPr>
        <w:t>，以便确定其报价是否符合最高限价等评审标准的要求。</w:t>
      </w:r>
    </w:p>
    <w:p>
      <w:pPr>
        <w:snapToGrid w:val="0"/>
        <w:ind w:firstLine="480" w:firstLineChars="200"/>
        <w:rPr>
          <w:rFonts w:ascii="宋体" w:hAnsi="宋体"/>
          <w:color w:val="000000" w:themeColor="text1"/>
          <w:kern w:val="0"/>
          <w:szCs w:val="20"/>
        </w:rPr>
      </w:pPr>
      <w:r>
        <w:rPr>
          <w:rFonts w:hint="eastAsia" w:ascii="宋体" w:hAnsi="宋体"/>
          <w:bCs/>
          <w:color w:val="000000" w:themeColor="text1"/>
          <w:kern w:val="0"/>
          <w:szCs w:val="20"/>
        </w:rPr>
        <w:t>（3）报</w:t>
      </w:r>
      <w:r>
        <w:rPr>
          <w:rFonts w:ascii="宋体" w:hAnsi="宋体"/>
          <w:bCs/>
          <w:color w:val="000000" w:themeColor="text1"/>
          <w:kern w:val="0"/>
          <w:szCs w:val="20"/>
        </w:rPr>
        <w:t>价</w:t>
      </w:r>
      <w:r>
        <w:rPr>
          <w:rFonts w:ascii="宋体" w:hAnsi="宋体"/>
          <w:color w:val="000000" w:themeColor="text1"/>
          <w:kern w:val="0"/>
          <w:szCs w:val="20"/>
        </w:rPr>
        <w:t>部分评审</w:t>
      </w:r>
      <w:r>
        <w:rPr>
          <w:rFonts w:hint="eastAsia" w:ascii="宋体" w:hAnsi="宋体"/>
          <w:color w:val="000000" w:themeColor="text1"/>
          <w:kern w:val="0"/>
          <w:szCs w:val="20"/>
        </w:rPr>
        <w:t>特别说明：</w:t>
      </w:r>
    </w:p>
    <w:p>
      <w:pPr>
        <w:snapToGrid w:val="0"/>
        <w:ind w:firstLine="480" w:firstLineChars="200"/>
        <w:rPr>
          <w:rFonts w:ascii="宋体" w:hAnsi="宋体"/>
          <w:color w:val="000000" w:themeColor="text1"/>
          <w:kern w:val="0"/>
        </w:rPr>
      </w:pPr>
      <w:r>
        <w:rPr>
          <w:rFonts w:hint="eastAsia" w:ascii="宋体" w:hAnsi="宋体"/>
          <w:color w:val="000000" w:themeColor="text1"/>
          <w:kern w:val="0"/>
        </w:rPr>
        <w:t>①应对所有响应文件的报价进行</w:t>
      </w:r>
      <w:r>
        <w:rPr>
          <w:rFonts w:ascii="宋体" w:hAnsi="宋体"/>
          <w:color w:val="000000" w:themeColor="text1"/>
          <w:kern w:val="0"/>
        </w:rPr>
        <w:t>算术性错误分析和修正</w:t>
      </w:r>
      <w:r>
        <w:rPr>
          <w:rFonts w:hint="eastAsia" w:ascii="宋体" w:hAnsi="宋体"/>
          <w:color w:val="000000" w:themeColor="text1"/>
          <w:kern w:val="0"/>
        </w:rPr>
        <w:t>（已被初步评审相关条款否决的响应文件除外）。</w:t>
      </w:r>
    </w:p>
    <w:p>
      <w:pPr>
        <w:snapToGrid w:val="0"/>
        <w:ind w:firstLine="480" w:firstLineChars="200"/>
        <w:rPr>
          <w:rFonts w:ascii="宋体" w:hAnsi="宋体"/>
          <w:color w:val="000000" w:themeColor="text1"/>
          <w:kern w:val="0"/>
        </w:rPr>
      </w:pPr>
      <w:r>
        <w:rPr>
          <w:rFonts w:hint="eastAsia" w:ascii="宋体" w:hAnsi="宋体"/>
          <w:bCs/>
          <w:color w:val="000000" w:themeColor="text1"/>
          <w:kern w:val="0"/>
        </w:rPr>
        <w:t>②</w:t>
      </w:r>
      <w:r>
        <w:rPr>
          <w:rFonts w:ascii="宋体" w:hAnsi="宋体"/>
          <w:color w:val="000000" w:themeColor="text1"/>
          <w:kern w:val="0"/>
        </w:rPr>
        <w:t>参与评审的报价</w:t>
      </w:r>
      <w:r>
        <w:rPr>
          <w:rFonts w:hint="eastAsia" w:ascii="宋体" w:hAnsi="宋体"/>
          <w:color w:val="000000" w:themeColor="text1"/>
          <w:kern w:val="0"/>
        </w:rPr>
        <w:t>为算术性错误修订后的报价</w:t>
      </w:r>
      <w:r>
        <w:rPr>
          <w:rFonts w:hint="eastAsia" w:ascii="宋体" w:hAnsi="宋体"/>
          <w:bCs/>
          <w:color w:val="000000" w:themeColor="text1"/>
          <w:kern w:val="0"/>
        </w:rPr>
        <w:t>。</w:t>
      </w:r>
    </w:p>
    <w:p>
      <w:pPr>
        <w:snapToGrid w:val="0"/>
        <w:ind w:firstLine="480" w:firstLineChars="200"/>
        <w:rPr>
          <w:rFonts w:ascii="宋体" w:hAnsi="宋体"/>
          <w:color w:val="000000" w:themeColor="text1"/>
          <w:kern w:val="0"/>
        </w:rPr>
      </w:pPr>
      <w:r>
        <w:rPr>
          <w:rFonts w:hint="eastAsia" w:ascii="宋体" w:hAnsi="宋体"/>
          <w:color w:val="000000" w:themeColor="text1"/>
          <w:kern w:val="0"/>
        </w:rPr>
        <w:t>③若算术性错误修订后的报价高于最高限价，该竞价将被否决。</w:t>
      </w:r>
    </w:p>
    <w:p>
      <w:pPr>
        <w:snapToGrid w:val="0"/>
        <w:ind w:firstLine="480" w:firstLineChars="200"/>
        <w:rPr>
          <w:rFonts w:ascii="宋体" w:hAnsi="宋体" w:cs="Arial"/>
          <w:color w:val="000000" w:themeColor="text1"/>
          <w:kern w:val="0"/>
        </w:rPr>
      </w:pPr>
      <w:r>
        <w:rPr>
          <w:rFonts w:hint="eastAsia" w:ascii="宋体" w:hAnsi="宋体" w:cs="Arial"/>
          <w:color w:val="000000" w:themeColor="text1"/>
          <w:kern w:val="0"/>
        </w:rPr>
        <w:t>④修正后的报价在评审时，由采购人或招标代理机构提交承包商</w:t>
      </w:r>
      <w:r>
        <w:rPr>
          <w:rFonts w:ascii="宋体" w:hAnsi="宋体" w:cs="Arial"/>
          <w:color w:val="000000" w:themeColor="text1"/>
          <w:kern w:val="0"/>
        </w:rPr>
        <w:t>予以确认</w:t>
      </w:r>
      <w:r>
        <w:rPr>
          <w:rFonts w:hint="eastAsia" w:ascii="宋体" w:hAnsi="宋体" w:cs="Arial"/>
          <w:color w:val="000000" w:themeColor="text1"/>
          <w:kern w:val="0"/>
        </w:rPr>
        <w:t>。该修正后的报价经承包商确认后，对承包商起约束作用。</w:t>
      </w:r>
    </w:p>
    <w:p>
      <w:pPr>
        <w:snapToGrid w:val="0"/>
        <w:ind w:firstLine="480" w:firstLineChars="200"/>
        <w:rPr>
          <w:rFonts w:ascii="宋体" w:hAnsi="宋体"/>
          <w:color w:val="000000" w:themeColor="text1"/>
        </w:rPr>
      </w:pPr>
      <w:r>
        <w:rPr>
          <w:rFonts w:hint="eastAsia" w:ascii="宋体" w:hAnsi="宋体"/>
          <w:color w:val="000000" w:themeColor="text1"/>
        </w:rPr>
        <w:t>（4）评审</w:t>
      </w:r>
      <w:r>
        <w:rPr>
          <w:rFonts w:ascii="宋体" w:hAnsi="宋体"/>
          <w:color w:val="000000" w:themeColor="text1"/>
        </w:rPr>
        <w:t>评小组各成员</w:t>
      </w:r>
      <w:r>
        <w:rPr>
          <w:rFonts w:hint="eastAsia" w:ascii="宋体" w:hAnsi="宋体"/>
          <w:color w:val="000000" w:themeColor="text1"/>
        </w:rPr>
        <w:t>对</w:t>
      </w:r>
      <w:r>
        <w:rPr>
          <w:rFonts w:ascii="宋体" w:hAnsi="宋体"/>
          <w:color w:val="000000" w:themeColor="text1"/>
        </w:rPr>
        <w:t>评审意见</w:t>
      </w:r>
      <w:r>
        <w:rPr>
          <w:rFonts w:hint="eastAsia" w:ascii="宋体" w:hAnsi="宋体"/>
          <w:color w:val="000000" w:themeColor="text1"/>
        </w:rPr>
        <w:t>签字确认</w:t>
      </w:r>
      <w:r>
        <w:rPr>
          <w:rFonts w:ascii="宋体" w:hAnsi="宋体"/>
          <w:color w:val="000000" w:themeColor="text1"/>
        </w:rPr>
        <w:t>。</w:t>
      </w:r>
    </w:p>
    <w:p>
      <w:pPr>
        <w:snapToGrid w:val="0"/>
        <w:ind w:firstLine="480" w:firstLineChars="200"/>
        <w:rPr>
          <w:rFonts w:ascii="宋体" w:hAnsi="宋体"/>
          <w:color w:val="000000" w:themeColor="text1"/>
        </w:rPr>
      </w:pPr>
      <w:r>
        <w:rPr>
          <w:rFonts w:hint="eastAsia" w:ascii="宋体" w:hAnsi="宋体"/>
          <w:color w:val="000000" w:themeColor="text1"/>
        </w:rPr>
        <w:t>3.2</w:t>
      </w:r>
      <w:r>
        <w:rPr>
          <w:rFonts w:hint="eastAsia" w:ascii="宋体" w:hAnsi="宋体"/>
          <w:bCs/>
          <w:color w:val="000000" w:themeColor="text1"/>
          <w:kern w:val="0"/>
        </w:rPr>
        <w:t>成交</w:t>
      </w:r>
      <w:r>
        <w:rPr>
          <w:rFonts w:ascii="宋体" w:hAnsi="宋体"/>
          <w:bCs/>
          <w:color w:val="000000" w:themeColor="text1"/>
          <w:kern w:val="0"/>
        </w:rPr>
        <w:t>候选人</w:t>
      </w:r>
      <w:r>
        <w:rPr>
          <w:rFonts w:hint="eastAsia" w:ascii="宋体" w:hAnsi="宋体"/>
          <w:bCs/>
          <w:color w:val="000000" w:themeColor="text1"/>
          <w:kern w:val="0"/>
        </w:rPr>
        <w:t>排序</w:t>
      </w:r>
    </w:p>
    <w:p>
      <w:pPr>
        <w:snapToGrid w:val="0"/>
        <w:ind w:firstLine="480" w:firstLineChars="200"/>
        <w:rPr>
          <w:rFonts w:ascii="宋体" w:hAnsi="宋体"/>
          <w:bCs/>
          <w:color w:val="000000" w:themeColor="text1"/>
          <w:kern w:val="0"/>
        </w:rPr>
      </w:pPr>
      <w:r>
        <w:rPr>
          <w:rFonts w:hint="eastAsia" w:ascii="宋体" w:hAnsi="宋体"/>
          <w:bCs/>
          <w:color w:val="000000" w:themeColor="text1"/>
          <w:kern w:val="0"/>
        </w:rPr>
        <w:t>对通过初步评审的响应文件按照优惠率由高到低的顺序进行承包商排序，格式见附件3。</w:t>
      </w:r>
    </w:p>
    <w:bookmarkEnd w:id="152"/>
    <w:p>
      <w:pPr>
        <w:keepNext/>
        <w:keepLines/>
        <w:outlineLvl w:val="1"/>
        <w:rPr>
          <w:rFonts w:ascii="Arial" w:hAnsi="Arial"/>
          <w:b/>
          <w:bCs/>
          <w:color w:val="000000" w:themeColor="text1"/>
          <w:kern w:val="0"/>
          <w:szCs w:val="32"/>
        </w:rPr>
      </w:pPr>
      <w:bookmarkStart w:id="153" w:name="_Toc475792084"/>
      <w:bookmarkStart w:id="154" w:name="_Toc526793350"/>
      <w:bookmarkStart w:id="155" w:name="_Toc20642703"/>
      <w:r>
        <w:rPr>
          <w:rFonts w:hint="eastAsia" w:ascii="Arial" w:hAnsi="Arial"/>
          <w:b/>
          <w:bCs/>
          <w:color w:val="000000" w:themeColor="text1"/>
          <w:kern w:val="0"/>
          <w:szCs w:val="32"/>
        </w:rPr>
        <w:t>4．</w:t>
      </w:r>
      <w:bookmarkEnd w:id="153"/>
      <w:bookmarkEnd w:id="154"/>
      <w:bookmarkStart w:id="156" w:name="_Toc526793352"/>
      <w:bookmarkStart w:id="157" w:name="_Toc475792087"/>
      <w:bookmarkStart w:id="158" w:name="_Toc510980905"/>
      <w:bookmarkStart w:id="159" w:name="_Toc321405390"/>
      <w:bookmarkStart w:id="160" w:name="_Toc475787740"/>
      <w:r>
        <w:rPr>
          <w:rFonts w:hint="eastAsia" w:ascii="Arial" w:hAnsi="Arial"/>
          <w:b/>
          <w:bCs/>
          <w:color w:val="000000" w:themeColor="text1"/>
          <w:kern w:val="0"/>
          <w:szCs w:val="32"/>
        </w:rPr>
        <w:t>仅1或2家承包商的相关说明</w:t>
      </w:r>
      <w:bookmarkEnd w:id="155"/>
    </w:p>
    <w:p>
      <w:pPr>
        <w:snapToGrid w:val="0"/>
        <w:ind w:firstLine="480" w:firstLineChars="200"/>
        <w:rPr>
          <w:rFonts w:ascii="宋体" w:hAnsi="宋体"/>
          <w:color w:val="000000" w:themeColor="text1"/>
        </w:rPr>
      </w:pPr>
      <w:bookmarkStart w:id="161" w:name="_Toc475792080"/>
      <w:bookmarkStart w:id="162" w:name="_Toc321405362"/>
      <w:r>
        <w:rPr>
          <w:rFonts w:hint="eastAsia" w:ascii="宋体" w:hAnsi="宋体"/>
          <w:color w:val="000000" w:themeColor="text1"/>
        </w:rPr>
        <w:t>4.1当通过初步评审的承包商只有2或1家时，采购人可以选择以下方式之一继续</w:t>
      </w:r>
      <w:r>
        <w:rPr>
          <w:rFonts w:ascii="宋体" w:hAnsi="宋体"/>
          <w:color w:val="000000" w:themeColor="text1"/>
        </w:rPr>
        <w:t>或</w:t>
      </w:r>
      <w:r>
        <w:rPr>
          <w:rFonts w:hint="eastAsia" w:ascii="宋体" w:hAnsi="宋体"/>
          <w:color w:val="000000" w:themeColor="text1"/>
        </w:rPr>
        <w:t>终止</w:t>
      </w:r>
      <w:r>
        <w:rPr>
          <w:rFonts w:ascii="宋体" w:hAnsi="宋体"/>
          <w:color w:val="000000" w:themeColor="text1"/>
        </w:rPr>
        <w:t>本次公开招标采购活动</w:t>
      </w:r>
      <w:r>
        <w:rPr>
          <w:rFonts w:hint="eastAsia" w:ascii="宋体" w:hAnsi="宋体"/>
          <w:color w:val="000000" w:themeColor="text1"/>
        </w:rPr>
        <w:t>：</w:t>
      </w:r>
    </w:p>
    <w:p>
      <w:pPr>
        <w:snapToGrid w:val="0"/>
        <w:ind w:firstLine="480" w:firstLineChars="200"/>
        <w:rPr>
          <w:rFonts w:ascii="宋体" w:hAnsi="宋体"/>
          <w:color w:val="000000" w:themeColor="text1"/>
        </w:rPr>
      </w:pPr>
      <w:r>
        <w:rPr>
          <w:rFonts w:hint="eastAsia" w:ascii="宋体" w:hAnsi="宋体"/>
          <w:color w:val="000000" w:themeColor="text1"/>
        </w:rPr>
        <w:t>（1）只有2家时，由本竞价评审小组按照本办法第3.2款的内容进行排序；</w:t>
      </w:r>
    </w:p>
    <w:p>
      <w:pPr>
        <w:snapToGrid w:val="0"/>
        <w:ind w:firstLine="480" w:firstLineChars="200"/>
        <w:rPr>
          <w:rFonts w:ascii="宋体" w:hAnsi="宋体"/>
          <w:color w:val="000000" w:themeColor="text1"/>
        </w:rPr>
      </w:pPr>
      <w:r>
        <w:rPr>
          <w:rFonts w:hint="eastAsia" w:ascii="宋体" w:hAnsi="宋体"/>
          <w:color w:val="000000" w:themeColor="text1"/>
        </w:rPr>
        <w:t>（2）只有1家时，由本竞价评审小组参照本</w:t>
      </w:r>
      <w:r>
        <w:rPr>
          <w:rFonts w:ascii="宋体" w:hAnsi="宋体"/>
          <w:color w:val="000000" w:themeColor="text1"/>
        </w:rPr>
        <w:t>办法</w:t>
      </w:r>
      <w:r>
        <w:rPr>
          <w:rFonts w:hint="eastAsia" w:ascii="宋体" w:hAnsi="宋体"/>
          <w:bCs/>
          <w:color w:val="000000" w:themeColor="text1"/>
          <w:kern w:val="0"/>
        </w:rPr>
        <w:t>第4.2款的内容进行谈判。</w:t>
      </w:r>
    </w:p>
    <w:p>
      <w:pPr>
        <w:snapToGrid w:val="0"/>
        <w:ind w:firstLine="480" w:firstLineChars="200"/>
        <w:rPr>
          <w:rFonts w:ascii="宋体" w:hAnsi="宋体"/>
          <w:color w:val="000000" w:themeColor="text1"/>
        </w:rPr>
      </w:pPr>
      <w:r>
        <w:rPr>
          <w:rFonts w:hint="eastAsia" w:ascii="宋体" w:hAnsi="宋体"/>
          <w:color w:val="000000" w:themeColor="text1"/>
        </w:rPr>
        <w:t>（3）终止本次公开招标采购活动。</w:t>
      </w:r>
    </w:p>
    <w:p>
      <w:pPr>
        <w:snapToGrid w:val="0"/>
        <w:ind w:firstLine="480" w:firstLineChars="200"/>
        <w:rPr>
          <w:rFonts w:ascii="宋体" w:hAnsi="宋体"/>
          <w:color w:val="000000" w:themeColor="text1"/>
        </w:rPr>
      </w:pPr>
      <w:r>
        <w:rPr>
          <w:rFonts w:hint="eastAsia" w:ascii="宋体" w:hAnsi="宋体"/>
          <w:color w:val="000000" w:themeColor="text1"/>
        </w:rPr>
        <w:t>4.2谈判工作主要内容：</w:t>
      </w:r>
    </w:p>
    <w:p>
      <w:pPr>
        <w:snapToGrid w:val="0"/>
        <w:ind w:firstLine="480" w:firstLineChars="200"/>
        <w:rPr>
          <w:rFonts w:ascii="宋体" w:hAnsi="宋体"/>
          <w:color w:val="000000" w:themeColor="text1"/>
        </w:rPr>
      </w:pPr>
      <w:r>
        <w:rPr>
          <w:rFonts w:hint="eastAsia" w:ascii="宋体" w:hAnsi="宋体"/>
          <w:color w:val="000000" w:themeColor="text1"/>
        </w:rPr>
        <w:t>（1）向承包商发出谈判时间、谈判地址、场所书面通知。</w:t>
      </w:r>
    </w:p>
    <w:p>
      <w:pPr>
        <w:snapToGrid w:val="0"/>
        <w:ind w:firstLine="480" w:firstLineChars="200"/>
        <w:rPr>
          <w:rFonts w:ascii="宋体" w:hAnsi="宋体"/>
          <w:color w:val="000000" w:themeColor="text1"/>
        </w:rPr>
      </w:pPr>
      <w:r>
        <w:rPr>
          <w:rFonts w:hint="eastAsia" w:ascii="宋体" w:hAnsi="宋体"/>
          <w:color w:val="000000" w:themeColor="text1"/>
        </w:rPr>
        <w:t>（2）核查承包商参与谈判人员的有效证件。</w:t>
      </w:r>
    </w:p>
    <w:p>
      <w:pPr>
        <w:snapToGrid w:val="0"/>
        <w:ind w:firstLine="480" w:firstLineChars="200"/>
        <w:rPr>
          <w:rFonts w:ascii="宋体" w:hAnsi="宋体"/>
          <w:color w:val="000000" w:themeColor="text1"/>
        </w:rPr>
      </w:pPr>
      <w:r>
        <w:rPr>
          <w:rFonts w:hint="eastAsia" w:ascii="宋体" w:hAnsi="宋体"/>
          <w:color w:val="000000" w:themeColor="text1"/>
        </w:rPr>
        <w:t>（3）对报价、技术等响应内容进行分析、审查，提出需要进一步谈判的技术、服务、报价、合同草案条款等问题。</w:t>
      </w:r>
    </w:p>
    <w:p>
      <w:pPr>
        <w:snapToGrid w:val="0"/>
        <w:ind w:firstLine="480" w:firstLineChars="200"/>
        <w:rPr>
          <w:rFonts w:ascii="宋体" w:hAnsi="宋体"/>
          <w:color w:val="000000" w:themeColor="text1"/>
        </w:rPr>
      </w:pPr>
      <w:r>
        <w:rPr>
          <w:rFonts w:hint="eastAsia" w:ascii="宋体" w:hAnsi="宋体"/>
          <w:color w:val="000000" w:themeColor="text1"/>
        </w:rPr>
        <w:t>（4）与承包商进行一轮</w:t>
      </w:r>
      <w:r>
        <w:rPr>
          <w:rFonts w:ascii="宋体" w:hAnsi="宋体"/>
          <w:color w:val="000000" w:themeColor="text1"/>
        </w:rPr>
        <w:t>或多</w:t>
      </w:r>
      <w:r>
        <w:rPr>
          <w:rFonts w:hint="eastAsia" w:ascii="宋体" w:hAnsi="宋体"/>
          <w:color w:val="000000" w:themeColor="text1"/>
        </w:rPr>
        <w:t>轮谈判、整理谈判结果、形成书面谈判记录（格式见附件4）。若</w:t>
      </w:r>
      <w:r>
        <w:rPr>
          <w:rFonts w:ascii="宋体" w:hAnsi="宋体"/>
          <w:color w:val="000000" w:themeColor="text1"/>
        </w:rPr>
        <w:t>需要，</w:t>
      </w:r>
      <w:r>
        <w:rPr>
          <w:rFonts w:hint="eastAsia" w:ascii="宋体" w:hAnsi="宋体"/>
          <w:color w:val="000000" w:themeColor="text1"/>
        </w:rPr>
        <w:t>根据书面谈判记录编制采购补充文件</w:t>
      </w:r>
      <w:r>
        <w:rPr>
          <w:rFonts w:hint="eastAsia"/>
          <w:color w:val="000000" w:themeColor="text1"/>
        </w:rPr>
        <w:t>（格式见附件5）</w:t>
      </w:r>
      <w:r>
        <w:rPr>
          <w:rFonts w:hint="eastAsia" w:ascii="宋体" w:hAnsi="宋体"/>
          <w:color w:val="000000" w:themeColor="text1"/>
        </w:rPr>
        <w:t xml:space="preserve">并发给承包商。当采购补充文件规定需要进行多轮谈判时，承包商递交补充响应文件或终版响应文件。 </w:t>
      </w:r>
    </w:p>
    <w:p>
      <w:pPr>
        <w:snapToGrid w:val="0"/>
        <w:ind w:firstLine="480" w:firstLineChars="200"/>
        <w:rPr>
          <w:rFonts w:ascii="宋体" w:hAnsi="宋体"/>
          <w:color w:val="000000" w:themeColor="text1"/>
        </w:rPr>
      </w:pPr>
      <w:r>
        <w:rPr>
          <w:rFonts w:hint="eastAsia" w:ascii="宋体" w:hAnsi="宋体"/>
          <w:color w:val="000000" w:themeColor="text1"/>
        </w:rPr>
        <w:t>（5）对承包商的响应情况进行评判。</w:t>
      </w:r>
    </w:p>
    <w:p>
      <w:pPr>
        <w:snapToGrid w:val="0"/>
        <w:ind w:firstLine="480" w:firstLineChars="200"/>
        <w:rPr>
          <w:rFonts w:ascii="宋体" w:hAnsi="宋体"/>
          <w:color w:val="000000" w:themeColor="text1"/>
        </w:rPr>
      </w:pPr>
      <w:r>
        <w:rPr>
          <w:rFonts w:hint="eastAsia" w:ascii="宋体" w:hAnsi="宋体"/>
          <w:bCs/>
          <w:color w:val="000000" w:themeColor="text1"/>
        </w:rPr>
        <w:t>4.3</w:t>
      </w:r>
      <w:r>
        <w:rPr>
          <w:rFonts w:hint="eastAsia" w:ascii="宋体" w:hAnsi="宋体"/>
          <w:color w:val="000000" w:themeColor="text1"/>
        </w:rPr>
        <w:t>开展评审工作初始，</w:t>
      </w:r>
      <w:r>
        <w:rPr>
          <w:rFonts w:hint="eastAsia" w:ascii="宋体" w:hAnsi="宋体"/>
          <w:color w:val="000000" w:themeColor="text1"/>
          <w:kern w:val="0"/>
          <w:szCs w:val="20"/>
        </w:rPr>
        <w:t>在按照本办法第3.1款的内容进行的初步评审过程中</w:t>
      </w:r>
      <w:r>
        <w:rPr>
          <w:rFonts w:hint="eastAsia" w:ascii="宋体" w:hAnsi="宋体"/>
          <w:color w:val="000000" w:themeColor="text1"/>
        </w:rPr>
        <w:t>，若全部响应文件均未通过，但其中只有1家仅因报价项不符合要求，为此，采购人可选择由本竞价评审小组参照本办法</w:t>
      </w:r>
      <w:r>
        <w:rPr>
          <w:rFonts w:hint="eastAsia" w:ascii="宋体" w:hAnsi="宋体"/>
          <w:bCs/>
          <w:color w:val="000000" w:themeColor="text1"/>
          <w:kern w:val="0"/>
        </w:rPr>
        <w:t>第4.2款的内容就报价等与该承包商进行独家谈判。</w:t>
      </w:r>
    </w:p>
    <w:p>
      <w:pPr>
        <w:keepNext/>
        <w:keepLines/>
        <w:outlineLvl w:val="1"/>
        <w:rPr>
          <w:rFonts w:ascii="Arial" w:hAnsi="Arial"/>
          <w:b/>
          <w:bCs/>
          <w:color w:val="000000" w:themeColor="text1"/>
          <w:kern w:val="0"/>
          <w:szCs w:val="32"/>
        </w:rPr>
      </w:pPr>
      <w:bookmarkStart w:id="163" w:name="_Toc20642704"/>
      <w:r>
        <w:rPr>
          <w:rFonts w:hint="eastAsia" w:ascii="Arial" w:hAnsi="Arial"/>
          <w:b/>
          <w:bCs/>
          <w:color w:val="000000" w:themeColor="text1"/>
          <w:kern w:val="0"/>
          <w:szCs w:val="32"/>
        </w:rPr>
        <w:t xml:space="preserve">5 </w:t>
      </w:r>
      <w:r>
        <w:rPr>
          <w:rFonts w:ascii="Arial" w:hAnsi="Arial"/>
          <w:b/>
          <w:bCs/>
          <w:color w:val="000000" w:themeColor="text1"/>
          <w:kern w:val="0"/>
          <w:szCs w:val="32"/>
        </w:rPr>
        <w:t>推荐</w:t>
      </w:r>
      <w:r>
        <w:rPr>
          <w:rFonts w:hint="eastAsia" w:ascii="Arial" w:hAnsi="Arial"/>
          <w:b/>
          <w:bCs/>
          <w:color w:val="000000" w:themeColor="text1"/>
          <w:kern w:val="0"/>
          <w:szCs w:val="32"/>
        </w:rPr>
        <w:t>成交</w:t>
      </w:r>
      <w:r>
        <w:rPr>
          <w:rFonts w:ascii="Arial" w:hAnsi="Arial"/>
          <w:b/>
          <w:bCs/>
          <w:color w:val="000000" w:themeColor="text1"/>
          <w:kern w:val="0"/>
          <w:szCs w:val="32"/>
        </w:rPr>
        <w:t>候选人</w:t>
      </w:r>
      <w:r>
        <w:rPr>
          <w:rFonts w:hint="eastAsia" w:ascii="Arial" w:hAnsi="Arial"/>
          <w:b/>
          <w:bCs/>
          <w:color w:val="000000" w:themeColor="text1"/>
          <w:kern w:val="0"/>
          <w:szCs w:val="32"/>
        </w:rPr>
        <w:t>及</w:t>
      </w:r>
      <w:r>
        <w:rPr>
          <w:rFonts w:ascii="Arial" w:hAnsi="Arial"/>
          <w:b/>
          <w:bCs/>
          <w:color w:val="000000" w:themeColor="text1"/>
          <w:kern w:val="0"/>
          <w:szCs w:val="32"/>
        </w:rPr>
        <w:t>编</w:t>
      </w:r>
      <w:r>
        <w:rPr>
          <w:rFonts w:hint="eastAsia" w:ascii="Arial" w:hAnsi="Arial"/>
          <w:b/>
          <w:bCs/>
          <w:color w:val="000000" w:themeColor="text1"/>
          <w:kern w:val="0"/>
          <w:szCs w:val="32"/>
        </w:rPr>
        <w:t>制</w:t>
      </w:r>
      <w:r>
        <w:rPr>
          <w:rFonts w:ascii="Arial" w:hAnsi="Arial"/>
          <w:b/>
          <w:bCs/>
          <w:color w:val="000000" w:themeColor="text1"/>
          <w:kern w:val="0"/>
          <w:szCs w:val="32"/>
        </w:rPr>
        <w:t>评审报告</w:t>
      </w:r>
      <w:bookmarkEnd w:id="163"/>
    </w:p>
    <w:p>
      <w:pPr>
        <w:snapToGrid w:val="0"/>
        <w:ind w:firstLine="480" w:firstLineChars="200"/>
        <w:rPr>
          <w:rFonts w:ascii="宋体" w:hAnsi="宋体"/>
          <w:bCs/>
          <w:color w:val="000000" w:themeColor="text1"/>
          <w:kern w:val="0"/>
        </w:rPr>
      </w:pPr>
      <w:r>
        <w:rPr>
          <w:rFonts w:hint="eastAsia" w:ascii="宋体" w:hAnsi="宋体"/>
          <w:color w:val="000000" w:themeColor="text1"/>
        </w:rPr>
        <w:t>5.1评审小组根据承包商排序情况推荐成交候选人</w:t>
      </w:r>
      <w:r>
        <w:rPr>
          <w:rFonts w:hint="eastAsia" w:ascii="宋体" w:hAnsi="宋体"/>
          <w:bCs/>
          <w:color w:val="000000" w:themeColor="text1"/>
        </w:rPr>
        <w:t>（最多3名）</w:t>
      </w:r>
      <w:r>
        <w:rPr>
          <w:rFonts w:hint="eastAsia" w:ascii="宋体" w:hAnsi="宋体"/>
          <w:color w:val="000000" w:themeColor="text1"/>
        </w:rPr>
        <w:t>，并整理评审、谈判资料，编制评审报告，</w:t>
      </w:r>
      <w:r>
        <w:rPr>
          <w:rFonts w:hint="eastAsia" w:ascii="宋体" w:hAnsi="宋体"/>
          <w:bCs/>
          <w:color w:val="000000" w:themeColor="text1"/>
          <w:kern w:val="0"/>
        </w:rPr>
        <w:t>格式见附件6。</w:t>
      </w:r>
    </w:p>
    <w:p>
      <w:pPr>
        <w:snapToGrid w:val="0"/>
        <w:ind w:firstLine="480" w:firstLineChars="200"/>
        <w:rPr>
          <w:rFonts w:ascii="宋体" w:hAnsi="宋体"/>
          <w:bCs/>
          <w:color w:val="000000" w:themeColor="text1"/>
        </w:rPr>
      </w:pPr>
      <w:r>
        <w:rPr>
          <w:rFonts w:hint="eastAsia" w:ascii="宋体" w:hAnsi="宋体"/>
          <w:bCs/>
          <w:color w:val="000000" w:themeColor="text1"/>
        </w:rPr>
        <w:t>5.2若</w:t>
      </w:r>
      <w:r>
        <w:rPr>
          <w:rFonts w:hint="eastAsia" w:ascii="宋体" w:hAnsi="宋体"/>
          <w:color w:val="000000" w:themeColor="text1"/>
        </w:rPr>
        <w:t>本公开招标采购项目划分为多个标段时，按照</w:t>
      </w:r>
      <w:r>
        <w:rPr>
          <w:rFonts w:hint="eastAsia" w:ascii="宋体" w:hAnsi="宋体"/>
          <w:bCs/>
          <w:color w:val="000000" w:themeColor="text1"/>
        </w:rPr>
        <w:t>第</w:t>
      </w:r>
      <w:r>
        <w:rPr>
          <w:rFonts w:ascii="宋体" w:hAnsi="宋体"/>
          <w:bCs/>
          <w:color w:val="000000" w:themeColor="text1"/>
        </w:rPr>
        <w:t>二章</w:t>
      </w:r>
      <w:r>
        <w:rPr>
          <w:rFonts w:hint="eastAsia" w:ascii="宋体" w:hAnsi="宋体"/>
          <w:bCs/>
          <w:color w:val="000000" w:themeColor="text1"/>
        </w:rPr>
        <w:t>“承包商须知”第</w:t>
      </w:r>
      <w:r>
        <w:rPr>
          <w:rFonts w:hint="eastAsia" w:ascii="宋体" w:hAnsi="宋体"/>
          <w:color w:val="000000" w:themeColor="text1"/>
          <w:sz w:val="21"/>
          <w:szCs w:val="21"/>
        </w:rPr>
        <w:t>4</w:t>
      </w:r>
      <w:r>
        <w:rPr>
          <w:rFonts w:ascii="宋体" w:hAnsi="宋体"/>
          <w:color w:val="000000" w:themeColor="text1"/>
          <w:sz w:val="21"/>
          <w:szCs w:val="21"/>
        </w:rPr>
        <w:t>.</w:t>
      </w:r>
      <w:r>
        <w:rPr>
          <w:rFonts w:hint="eastAsia" w:ascii="宋体" w:hAnsi="宋体"/>
          <w:color w:val="000000" w:themeColor="text1"/>
          <w:sz w:val="21"/>
          <w:szCs w:val="21"/>
        </w:rPr>
        <w:t>2（3）</w:t>
      </w:r>
      <w:r>
        <w:rPr>
          <w:rFonts w:hint="eastAsia" w:ascii="宋体" w:hAnsi="宋体"/>
          <w:bCs/>
          <w:color w:val="000000" w:themeColor="text1"/>
        </w:rPr>
        <w:t>项的</w:t>
      </w:r>
      <w:r>
        <w:rPr>
          <w:rFonts w:ascii="宋体" w:hAnsi="宋体"/>
          <w:bCs/>
          <w:color w:val="000000" w:themeColor="text1"/>
        </w:rPr>
        <w:t>规定</w:t>
      </w:r>
      <w:r>
        <w:rPr>
          <w:rFonts w:hint="eastAsia" w:ascii="宋体" w:hAnsi="宋体"/>
          <w:bCs/>
          <w:color w:val="000000" w:themeColor="text1"/>
        </w:rPr>
        <w:t>推荐各标段的成交</w:t>
      </w:r>
      <w:r>
        <w:rPr>
          <w:rFonts w:ascii="宋体" w:hAnsi="宋体"/>
          <w:bCs/>
          <w:color w:val="000000" w:themeColor="text1"/>
        </w:rPr>
        <w:t>候选人</w:t>
      </w:r>
      <w:r>
        <w:rPr>
          <w:rFonts w:hint="eastAsia" w:ascii="宋体" w:hAnsi="宋体"/>
          <w:bCs/>
          <w:color w:val="000000" w:themeColor="text1"/>
        </w:rPr>
        <w:t>（每个标段最多3名）。</w:t>
      </w:r>
    </w:p>
    <w:p>
      <w:pPr>
        <w:snapToGrid w:val="0"/>
        <w:ind w:firstLine="480" w:firstLineChars="200"/>
        <w:rPr>
          <w:rFonts w:ascii="宋体" w:hAnsi="宋体"/>
          <w:bCs/>
          <w:color w:val="000000" w:themeColor="text1"/>
          <w:kern w:val="0"/>
        </w:rPr>
      </w:pPr>
      <w:r>
        <w:rPr>
          <w:rFonts w:hint="eastAsia" w:ascii="宋体" w:hAnsi="宋体"/>
          <w:bCs/>
          <w:color w:val="000000" w:themeColor="text1"/>
          <w:kern w:val="0"/>
        </w:rPr>
        <w:t>5.3</w:t>
      </w:r>
      <w:r>
        <w:rPr>
          <w:rFonts w:ascii="宋体" w:hAnsi="宋体"/>
          <w:bCs/>
          <w:color w:val="000000" w:themeColor="text1"/>
          <w:kern w:val="0"/>
        </w:rPr>
        <w:t>如果出现</w:t>
      </w:r>
      <w:r>
        <w:rPr>
          <w:rFonts w:hint="eastAsia" w:ascii="宋体" w:hAnsi="宋体"/>
          <w:bCs/>
          <w:color w:val="000000" w:themeColor="text1"/>
          <w:kern w:val="0"/>
        </w:rPr>
        <w:t>报价金额或降点率等</w:t>
      </w:r>
      <w:r>
        <w:rPr>
          <w:rFonts w:ascii="宋体" w:hAnsi="宋体"/>
          <w:bCs/>
          <w:color w:val="000000" w:themeColor="text1"/>
          <w:kern w:val="0"/>
        </w:rPr>
        <w:t>相同的情况，</w:t>
      </w:r>
      <w:r>
        <w:rPr>
          <w:rFonts w:hint="eastAsia" w:ascii="宋体" w:hAnsi="宋体"/>
          <w:bCs/>
          <w:color w:val="000000" w:themeColor="text1"/>
          <w:kern w:val="0"/>
        </w:rPr>
        <w:t>可</w:t>
      </w:r>
      <w:r>
        <w:rPr>
          <w:rFonts w:ascii="宋体" w:hAnsi="宋体"/>
          <w:bCs/>
          <w:color w:val="000000" w:themeColor="text1"/>
          <w:kern w:val="0"/>
        </w:rPr>
        <w:t>按照</w:t>
      </w:r>
      <w:r>
        <w:rPr>
          <w:rFonts w:hint="eastAsia" w:ascii="宋体" w:hAnsi="宋体"/>
          <w:bCs/>
          <w:color w:val="000000" w:themeColor="text1"/>
          <w:kern w:val="0"/>
        </w:rPr>
        <w:t>以下</w:t>
      </w:r>
      <w:r>
        <w:rPr>
          <w:rFonts w:ascii="宋体" w:hAnsi="宋体"/>
          <w:bCs/>
          <w:color w:val="000000" w:themeColor="text1"/>
          <w:kern w:val="0"/>
        </w:rPr>
        <w:t>优先次序</w:t>
      </w:r>
      <w:r>
        <w:rPr>
          <w:rFonts w:hint="eastAsia" w:ascii="宋体" w:hAnsi="宋体"/>
          <w:bCs/>
          <w:color w:val="000000" w:themeColor="text1"/>
          <w:kern w:val="0"/>
        </w:rPr>
        <w:t>推荐（或评审小组自行确定）成交候选人</w:t>
      </w:r>
      <w:r>
        <w:rPr>
          <w:rFonts w:ascii="宋体" w:hAnsi="宋体"/>
          <w:bCs/>
          <w:color w:val="000000" w:themeColor="text1"/>
          <w:kern w:val="0"/>
        </w:rPr>
        <w:t>：</w:t>
      </w:r>
    </w:p>
    <w:p>
      <w:pPr>
        <w:snapToGrid w:val="0"/>
        <w:ind w:firstLine="480" w:firstLineChars="200"/>
        <w:rPr>
          <w:rFonts w:ascii="宋体" w:hAnsi="宋体"/>
          <w:bCs/>
          <w:color w:val="000000" w:themeColor="text1"/>
          <w:kern w:val="0"/>
        </w:rPr>
      </w:pPr>
      <w:r>
        <w:rPr>
          <w:rFonts w:hint="eastAsia" w:ascii="宋体" w:hAnsi="宋体"/>
          <w:bCs/>
          <w:color w:val="000000" w:themeColor="text1"/>
          <w:kern w:val="0"/>
        </w:rPr>
        <w:t>（1）承包商资质等级高者；</w:t>
      </w:r>
    </w:p>
    <w:p>
      <w:pPr>
        <w:snapToGrid w:val="0"/>
        <w:ind w:firstLine="480" w:firstLineChars="200"/>
        <w:rPr>
          <w:rFonts w:ascii="宋体" w:hAnsi="宋体"/>
          <w:bCs/>
          <w:color w:val="000000" w:themeColor="text1"/>
          <w:kern w:val="0"/>
        </w:rPr>
      </w:pPr>
      <w:r>
        <w:rPr>
          <w:rFonts w:hint="eastAsia" w:ascii="宋体" w:hAnsi="宋体"/>
          <w:bCs/>
          <w:color w:val="000000" w:themeColor="text1"/>
          <w:kern w:val="0"/>
        </w:rPr>
        <w:t>（2</w:t>
      </w:r>
      <w:r>
        <w:rPr>
          <w:rFonts w:ascii="宋体" w:hAnsi="宋体"/>
          <w:bCs/>
          <w:color w:val="000000" w:themeColor="text1"/>
          <w:kern w:val="0"/>
        </w:rPr>
        <w:t>）项目</w:t>
      </w:r>
      <w:r>
        <w:rPr>
          <w:rFonts w:hint="eastAsia" w:ascii="宋体" w:hAnsi="宋体"/>
          <w:bCs/>
          <w:color w:val="000000" w:themeColor="text1"/>
          <w:kern w:val="0"/>
        </w:rPr>
        <w:t>经理（/总监理工程师/总监测工程师）业绩好</w:t>
      </w:r>
      <w:r>
        <w:rPr>
          <w:rFonts w:ascii="宋体" w:hAnsi="宋体"/>
          <w:bCs/>
          <w:color w:val="000000" w:themeColor="text1"/>
          <w:kern w:val="0"/>
        </w:rPr>
        <w:t>者</w:t>
      </w:r>
      <w:r>
        <w:rPr>
          <w:rFonts w:hint="eastAsia" w:ascii="宋体" w:hAnsi="宋体"/>
          <w:bCs/>
          <w:color w:val="000000" w:themeColor="text1"/>
          <w:kern w:val="0"/>
        </w:rPr>
        <w:t>；</w:t>
      </w:r>
    </w:p>
    <w:p>
      <w:pPr>
        <w:snapToGrid w:val="0"/>
        <w:ind w:firstLine="480" w:firstLineChars="200"/>
        <w:rPr>
          <w:rFonts w:ascii="宋体" w:hAnsi="宋体"/>
          <w:bCs/>
          <w:color w:val="000000" w:themeColor="text1"/>
          <w:kern w:val="0"/>
        </w:rPr>
      </w:pPr>
      <w:bookmarkStart w:id="164" w:name="_Toc321405388"/>
      <w:r>
        <w:rPr>
          <w:rFonts w:hint="eastAsia" w:ascii="宋体" w:hAnsi="宋体"/>
          <w:bCs/>
          <w:color w:val="000000" w:themeColor="text1"/>
          <w:kern w:val="0"/>
        </w:rPr>
        <w:t>（3）承包商财务状况好者</w:t>
      </w:r>
      <w:r>
        <w:rPr>
          <w:rFonts w:hint="eastAsia" w:ascii="宋体" w:hAnsi="宋体"/>
          <w:bCs/>
          <w:color w:val="000000" w:themeColor="text1"/>
        </w:rPr>
        <w:t>。</w:t>
      </w:r>
    </w:p>
    <w:bookmarkEnd w:id="164"/>
    <w:p>
      <w:pPr>
        <w:snapToGrid w:val="0"/>
        <w:ind w:firstLine="480" w:firstLineChars="200"/>
        <w:rPr>
          <w:rFonts w:ascii="宋体" w:hAnsi="宋体"/>
          <w:color w:val="000000" w:themeColor="text1"/>
        </w:rPr>
      </w:pPr>
      <w:bookmarkStart w:id="165" w:name="_Toc321405394"/>
      <w:r>
        <w:rPr>
          <w:rFonts w:hint="eastAsia" w:ascii="宋体" w:hAnsi="宋体"/>
          <w:color w:val="000000" w:themeColor="text1"/>
        </w:rPr>
        <w:t>5.4</w:t>
      </w:r>
      <w:r>
        <w:rPr>
          <w:rFonts w:ascii="宋体" w:hAnsi="宋体"/>
          <w:color w:val="000000" w:themeColor="text1"/>
        </w:rPr>
        <w:t>评审报告应由评审小组全体成员</w:t>
      </w:r>
      <w:r>
        <w:rPr>
          <w:rFonts w:hint="eastAsia" w:ascii="宋体" w:hAnsi="宋体"/>
          <w:color w:val="000000" w:themeColor="text1"/>
        </w:rPr>
        <w:t>签字予以确认。</w:t>
      </w:r>
      <w:bookmarkEnd w:id="165"/>
    </w:p>
    <w:p>
      <w:pPr>
        <w:snapToGrid w:val="0"/>
        <w:ind w:firstLine="480" w:firstLineChars="200"/>
        <w:rPr>
          <w:rFonts w:ascii="宋体" w:hAnsi="宋体"/>
          <w:color w:val="000000" w:themeColor="text1"/>
        </w:rPr>
      </w:pPr>
      <w:r>
        <w:rPr>
          <w:rFonts w:hint="eastAsia" w:ascii="宋体" w:hAnsi="宋体"/>
          <w:color w:val="000000" w:themeColor="text1"/>
        </w:rPr>
        <w:t>5.5</w:t>
      </w:r>
      <w:r>
        <w:rPr>
          <w:rFonts w:ascii="宋体" w:hAnsi="宋体"/>
          <w:color w:val="000000" w:themeColor="text1"/>
        </w:rPr>
        <w:t>对评审结论持有异议的评审小组成员可以</w:t>
      </w:r>
      <w:r>
        <w:rPr>
          <w:rFonts w:hint="eastAsia" w:ascii="宋体" w:hAnsi="宋体"/>
          <w:color w:val="000000" w:themeColor="text1"/>
        </w:rPr>
        <w:t>在评审报告中</w:t>
      </w:r>
      <w:r>
        <w:rPr>
          <w:rFonts w:ascii="宋体" w:hAnsi="宋体"/>
          <w:color w:val="000000" w:themeColor="text1"/>
        </w:rPr>
        <w:t>阐述其不同意见和理由。评审小组成员拒绝在评审报告上签</w:t>
      </w:r>
      <w:r>
        <w:rPr>
          <w:rFonts w:hint="eastAsia" w:ascii="宋体" w:hAnsi="宋体"/>
          <w:color w:val="000000" w:themeColor="text1"/>
        </w:rPr>
        <w:t>字</w:t>
      </w:r>
      <w:r>
        <w:rPr>
          <w:rFonts w:ascii="宋体" w:hAnsi="宋体"/>
          <w:color w:val="000000" w:themeColor="text1"/>
        </w:rPr>
        <w:t>且不陈述其不同意见和理由的，视为同意评审结论。评审小组应当</w:t>
      </w:r>
      <w:r>
        <w:rPr>
          <w:rFonts w:hint="eastAsia" w:ascii="宋体" w:hAnsi="宋体"/>
          <w:color w:val="000000" w:themeColor="text1"/>
        </w:rPr>
        <w:t>在评审报告的“需要说明的事项”中予以说明</w:t>
      </w:r>
      <w:r>
        <w:rPr>
          <w:rFonts w:ascii="宋体" w:hAnsi="宋体"/>
          <w:color w:val="000000" w:themeColor="text1"/>
        </w:rPr>
        <w:t>。</w:t>
      </w:r>
    </w:p>
    <w:bookmarkEnd w:id="156"/>
    <w:bookmarkEnd w:id="157"/>
    <w:bookmarkEnd w:id="158"/>
    <w:bookmarkEnd w:id="159"/>
    <w:bookmarkEnd w:id="160"/>
    <w:bookmarkEnd w:id="161"/>
    <w:bookmarkEnd w:id="162"/>
    <w:p>
      <w:pPr>
        <w:keepNext/>
        <w:keepLines/>
        <w:outlineLvl w:val="1"/>
        <w:rPr>
          <w:rFonts w:ascii="Arial" w:hAnsi="Arial"/>
          <w:b/>
          <w:bCs/>
          <w:color w:val="000000" w:themeColor="text1"/>
          <w:kern w:val="0"/>
          <w:szCs w:val="32"/>
        </w:rPr>
      </w:pPr>
      <w:bookmarkStart w:id="166" w:name="_Toc20642705"/>
      <w:bookmarkStart w:id="167" w:name="_Toc475792091"/>
      <w:bookmarkStart w:id="168" w:name="_Toc526793357"/>
      <w:r>
        <w:rPr>
          <w:rFonts w:hint="eastAsia" w:ascii="Arial" w:hAnsi="Arial"/>
          <w:b/>
          <w:bCs/>
          <w:color w:val="000000" w:themeColor="text1"/>
          <w:kern w:val="0"/>
          <w:szCs w:val="32"/>
        </w:rPr>
        <w:t>6．重新评审</w:t>
      </w:r>
      <w:bookmarkEnd w:id="166"/>
      <w:bookmarkEnd w:id="167"/>
      <w:bookmarkEnd w:id="168"/>
    </w:p>
    <w:p>
      <w:pPr>
        <w:snapToGrid w:val="0"/>
        <w:ind w:firstLine="480" w:firstLineChars="200"/>
        <w:rPr>
          <w:rFonts w:ascii="宋体" w:hAnsi="宋体"/>
          <w:color w:val="000000" w:themeColor="text1"/>
          <w:kern w:val="0"/>
        </w:rPr>
      </w:pPr>
      <w:r>
        <w:rPr>
          <w:rFonts w:hint="eastAsia" w:ascii="宋体" w:hAnsi="宋体"/>
          <w:bCs/>
          <w:color w:val="000000" w:themeColor="text1"/>
        </w:rPr>
        <w:t>承包商、采购人或者其他利害关系人对评审结果有异议的，经监督部门认定需重新评审的，应当在发出成交通知书前由原评审小组按照采购文件、采购补充文件</w:t>
      </w:r>
      <w:r>
        <w:rPr>
          <w:rFonts w:hint="eastAsia" w:ascii="宋体" w:hAnsi="宋体"/>
          <w:color w:val="000000" w:themeColor="text1"/>
          <w:kern w:val="0"/>
        </w:rPr>
        <w:t>规定的标准和方法重新评审。</w:t>
      </w:r>
    </w:p>
    <w:p>
      <w:pPr>
        <w:keepNext/>
        <w:keepLines/>
        <w:outlineLvl w:val="1"/>
        <w:rPr>
          <w:rFonts w:ascii="Arial" w:hAnsi="Arial"/>
          <w:b/>
          <w:bCs/>
          <w:color w:val="000000" w:themeColor="text1"/>
          <w:kern w:val="0"/>
          <w:szCs w:val="32"/>
        </w:rPr>
      </w:pPr>
      <w:bookmarkStart w:id="169" w:name="_Toc475792093"/>
      <w:bookmarkStart w:id="170" w:name="_Toc20642706"/>
      <w:bookmarkStart w:id="171" w:name="_Toc526793358"/>
      <w:r>
        <w:rPr>
          <w:rFonts w:hint="eastAsia" w:ascii="Arial" w:hAnsi="Arial"/>
          <w:b/>
          <w:bCs/>
          <w:color w:val="000000" w:themeColor="text1"/>
          <w:kern w:val="0"/>
          <w:szCs w:val="32"/>
        </w:rPr>
        <w:t>7．记名投票</w:t>
      </w:r>
      <w:bookmarkEnd w:id="169"/>
      <w:bookmarkEnd w:id="170"/>
      <w:bookmarkEnd w:id="171"/>
    </w:p>
    <w:p>
      <w:pPr>
        <w:snapToGrid w:val="0"/>
        <w:ind w:firstLine="480" w:firstLineChars="200"/>
        <w:rPr>
          <w:rFonts w:ascii="宋体" w:hAnsi="宋体"/>
          <w:color w:val="000000" w:themeColor="text1"/>
        </w:rPr>
      </w:pPr>
      <w:r>
        <w:rPr>
          <w:rFonts w:hint="eastAsia" w:ascii="宋体" w:hAnsi="宋体"/>
          <w:color w:val="000000" w:themeColor="text1"/>
        </w:rPr>
        <w:t>在任何评审环节中，需评审小组就某项定性的评审结论做出表决的，由评审小组全体成员按照少数服从多数的原则，以记名投票方式表决。该表决情况及结果应在评审报告中予以记录。</w:t>
      </w:r>
    </w:p>
    <w:p>
      <w:pPr>
        <w:keepNext/>
        <w:keepLines/>
        <w:outlineLvl w:val="1"/>
        <w:rPr>
          <w:rFonts w:ascii="Arial" w:hAnsi="Arial"/>
          <w:b/>
          <w:bCs/>
          <w:color w:val="000000" w:themeColor="text1"/>
          <w:kern w:val="0"/>
          <w:szCs w:val="32"/>
        </w:rPr>
      </w:pPr>
      <w:bookmarkStart w:id="172" w:name="_Toc20642707"/>
      <w:bookmarkStart w:id="173" w:name="_Toc526793360"/>
      <w:bookmarkStart w:id="174" w:name="_Toc475792095"/>
      <w:r>
        <w:rPr>
          <w:rFonts w:hint="eastAsia" w:ascii="Arial" w:hAnsi="Arial"/>
          <w:b/>
          <w:bCs/>
          <w:color w:val="000000" w:themeColor="text1"/>
          <w:kern w:val="0"/>
          <w:szCs w:val="32"/>
        </w:rPr>
        <w:t>8．附件</w:t>
      </w:r>
      <w:bookmarkEnd w:id="172"/>
      <w:bookmarkEnd w:id="173"/>
      <w:bookmarkEnd w:id="174"/>
    </w:p>
    <w:p>
      <w:pPr>
        <w:ind w:firstLine="480" w:firstLineChars="200"/>
        <w:rPr>
          <w:color w:val="000000" w:themeColor="text1"/>
        </w:rPr>
      </w:pPr>
      <w:r>
        <w:rPr>
          <w:rFonts w:hint="eastAsia"/>
          <w:color w:val="000000" w:themeColor="text1"/>
        </w:rPr>
        <w:t>附件1</w:t>
      </w:r>
      <w:r>
        <w:rPr>
          <w:color w:val="000000" w:themeColor="text1"/>
        </w:rPr>
        <w:t>：</w:t>
      </w:r>
      <w:r>
        <w:rPr>
          <w:rFonts w:hint="eastAsia"/>
          <w:color w:val="000000" w:themeColor="text1"/>
        </w:rPr>
        <w:t>初步评审标准及记录表</w:t>
      </w:r>
    </w:p>
    <w:p>
      <w:pPr>
        <w:ind w:firstLine="480" w:firstLineChars="200"/>
        <w:rPr>
          <w:color w:val="000000" w:themeColor="text1"/>
        </w:rPr>
      </w:pPr>
      <w:r>
        <w:rPr>
          <w:rFonts w:hint="eastAsia"/>
          <w:color w:val="000000" w:themeColor="text1"/>
        </w:rPr>
        <w:t>附件2</w:t>
      </w:r>
      <w:r>
        <w:rPr>
          <w:color w:val="000000" w:themeColor="text1"/>
        </w:rPr>
        <w:t>：</w:t>
      </w:r>
      <w:r>
        <w:rPr>
          <w:rFonts w:hint="eastAsia"/>
          <w:color w:val="000000" w:themeColor="text1"/>
        </w:rPr>
        <w:t>承包商排序表</w:t>
      </w:r>
    </w:p>
    <w:p>
      <w:pPr>
        <w:ind w:firstLine="480" w:firstLineChars="200"/>
        <w:rPr>
          <w:rFonts w:ascii="宋体" w:hAnsi="宋体"/>
          <w:color w:val="000000" w:themeColor="text1"/>
        </w:rPr>
      </w:pPr>
      <w:r>
        <w:rPr>
          <w:rFonts w:hint="eastAsia" w:ascii="宋体" w:hAnsi="宋体"/>
          <w:color w:val="000000" w:themeColor="text1"/>
        </w:rPr>
        <w:t>附件3：谈判记录文件</w:t>
      </w:r>
    </w:p>
    <w:p>
      <w:pPr>
        <w:ind w:firstLine="480" w:firstLineChars="200"/>
        <w:rPr>
          <w:rFonts w:ascii="宋体" w:hAnsi="宋体"/>
          <w:color w:val="000000" w:themeColor="text1"/>
        </w:rPr>
      </w:pPr>
      <w:r>
        <w:rPr>
          <w:rFonts w:hint="eastAsia" w:ascii="宋体" w:hAnsi="宋体"/>
          <w:color w:val="000000" w:themeColor="text1"/>
        </w:rPr>
        <w:t>附件4</w:t>
      </w:r>
      <w:r>
        <w:rPr>
          <w:rFonts w:ascii="宋体" w:hAnsi="宋体"/>
          <w:color w:val="000000" w:themeColor="text1"/>
        </w:rPr>
        <w:t>：</w:t>
      </w:r>
      <w:r>
        <w:rPr>
          <w:rFonts w:hint="eastAsia" w:ascii="宋体" w:hAnsi="宋体"/>
          <w:color w:val="000000" w:themeColor="text1"/>
        </w:rPr>
        <w:t>采购补充文件</w:t>
      </w:r>
    </w:p>
    <w:p>
      <w:pPr>
        <w:ind w:firstLine="480" w:firstLineChars="200"/>
        <w:rPr>
          <w:rFonts w:ascii="Arial" w:hAnsi="Arial"/>
          <w:b/>
          <w:bCs/>
          <w:color w:val="000000" w:themeColor="text1"/>
          <w:kern w:val="0"/>
          <w:szCs w:val="32"/>
        </w:rPr>
      </w:pPr>
      <w:r>
        <w:rPr>
          <w:rFonts w:hint="eastAsia"/>
          <w:color w:val="000000" w:themeColor="text1"/>
        </w:rPr>
        <w:t>附件6：评审报告</w:t>
      </w:r>
    </w:p>
    <w:p>
      <w:pPr>
        <w:keepNext/>
        <w:keepLines/>
        <w:outlineLvl w:val="1"/>
        <w:rPr>
          <w:rFonts w:ascii="宋体" w:hAnsi="宋体"/>
          <w:color w:val="000000" w:themeColor="text1"/>
        </w:rPr>
      </w:pPr>
    </w:p>
    <w:p>
      <w:pPr>
        <w:keepNext/>
        <w:keepLines/>
        <w:outlineLvl w:val="1"/>
        <w:rPr>
          <w:rFonts w:ascii="宋体" w:hAnsi="宋体"/>
          <w:color w:val="000000" w:themeColor="text1"/>
        </w:rPr>
      </w:pPr>
    </w:p>
    <w:p>
      <w:pPr>
        <w:keepNext/>
        <w:keepLines/>
        <w:outlineLvl w:val="1"/>
        <w:rPr>
          <w:rFonts w:ascii="宋体" w:hAnsi="宋体"/>
          <w:color w:val="000000" w:themeColor="text1"/>
        </w:rPr>
        <w:sectPr>
          <w:pgSz w:w="11906" w:h="16838"/>
          <w:pgMar w:top="1440" w:right="1800" w:bottom="1440" w:left="1800" w:header="851" w:footer="992" w:gutter="0"/>
          <w:cols w:space="720" w:num="1"/>
          <w:docGrid w:type="lines" w:linePitch="326" w:charSpace="0"/>
        </w:sectPr>
      </w:pPr>
    </w:p>
    <w:bookmarkEnd w:id="138"/>
    <w:bookmarkEnd w:id="139"/>
    <w:bookmarkEnd w:id="140"/>
    <w:p>
      <w:pPr>
        <w:keepNext/>
        <w:keepLines/>
        <w:outlineLvl w:val="1"/>
        <w:rPr>
          <w:rFonts w:ascii="华文楷体" w:hAnsi="华文楷体" w:eastAsia="华文楷体"/>
          <w:color w:val="000000" w:themeColor="text1"/>
          <w:kern w:val="0"/>
          <w:sz w:val="30"/>
          <w:szCs w:val="30"/>
        </w:rPr>
      </w:pPr>
      <w:bookmarkStart w:id="175" w:name="_Toc475792101"/>
      <w:bookmarkStart w:id="176" w:name="_Toc20642708"/>
      <w:r>
        <w:rPr>
          <w:rFonts w:hint="eastAsia" w:ascii="宋体" w:hAnsi="宋体"/>
          <w:color w:val="000000" w:themeColor="text1"/>
          <w:kern w:val="0"/>
          <w:szCs w:val="32"/>
        </w:rPr>
        <w:t>附件</w:t>
      </w:r>
      <w:r>
        <w:rPr>
          <w:rFonts w:ascii="宋体" w:hAnsi="宋体"/>
          <w:bCs/>
          <w:color w:val="000000" w:themeColor="text1"/>
          <w:kern w:val="0"/>
          <w:szCs w:val="32"/>
        </w:rPr>
        <w:t>1</w:t>
      </w:r>
      <w:r>
        <w:rPr>
          <w:rFonts w:hint="eastAsia" w:ascii="宋体" w:hAnsi="宋体"/>
          <w:bCs/>
          <w:color w:val="000000" w:themeColor="text1"/>
          <w:kern w:val="0"/>
          <w:szCs w:val="32"/>
        </w:rPr>
        <w:t>：初步评审标准及记录表</w:t>
      </w:r>
      <w:bookmarkEnd w:id="175"/>
      <w:bookmarkEnd w:id="176"/>
    </w:p>
    <w:p>
      <w:pPr>
        <w:tabs>
          <w:tab w:val="left" w:pos="4680"/>
        </w:tabs>
        <w:snapToGrid w:val="0"/>
        <w:spacing w:afterLines="50" w:line="240" w:lineRule="auto"/>
        <w:jc w:val="center"/>
        <w:rPr>
          <w:rFonts w:ascii="宋体" w:hAnsi="宋体"/>
          <w:b/>
          <w:bCs/>
          <w:color w:val="000000" w:themeColor="text1"/>
          <w:sz w:val="30"/>
          <w:szCs w:val="30"/>
        </w:rPr>
      </w:pPr>
      <w:r>
        <w:rPr>
          <w:rFonts w:hint="eastAsia" w:ascii="宋体" w:hAnsi="宋体"/>
          <w:b/>
          <w:bCs/>
          <w:color w:val="000000" w:themeColor="text1"/>
          <w:sz w:val="30"/>
          <w:szCs w:val="30"/>
        </w:rPr>
        <w:t>初步评审标准及记录表</w:t>
      </w:r>
    </w:p>
    <w:tbl>
      <w:tblPr>
        <w:tblStyle w:val="60"/>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559"/>
        <w:gridCol w:w="3827"/>
        <w:gridCol w:w="851"/>
        <w:gridCol w:w="1112"/>
        <w:gridCol w:w="709"/>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4" w:type="dxa"/>
            <w:vMerge w:val="restart"/>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内容</w:t>
            </w:r>
          </w:p>
        </w:tc>
        <w:tc>
          <w:tcPr>
            <w:tcW w:w="1559" w:type="dxa"/>
            <w:vMerge w:val="restart"/>
            <w:shd w:val="clear" w:color="auto" w:fill="auto"/>
            <w:tcMar>
              <w:left w:w="28" w:type="dxa"/>
              <w:right w:w="28" w:type="dxa"/>
            </w:tcMar>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评审因素</w:t>
            </w:r>
          </w:p>
        </w:tc>
        <w:tc>
          <w:tcPr>
            <w:tcW w:w="3827" w:type="dxa"/>
            <w:vMerge w:val="restart"/>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评审标准</w:t>
            </w:r>
          </w:p>
        </w:tc>
        <w:tc>
          <w:tcPr>
            <w:tcW w:w="3486" w:type="dxa"/>
            <w:gridSpan w:val="4"/>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承包商名称及评审结论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54" w:type="dxa"/>
            <w:vMerge w:val="continue"/>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1559" w:type="dxa"/>
            <w:vMerge w:val="continue"/>
            <w:shd w:val="clear" w:color="auto" w:fill="auto"/>
            <w:tcMar>
              <w:left w:w="28" w:type="dxa"/>
              <w:right w:w="28" w:type="dxa"/>
            </w:tcMar>
            <w:vAlign w:val="center"/>
          </w:tcPr>
          <w:p>
            <w:pPr>
              <w:widowControl/>
              <w:snapToGrid w:val="0"/>
              <w:spacing w:line="240" w:lineRule="auto"/>
              <w:jc w:val="center"/>
              <w:rPr>
                <w:rFonts w:ascii="宋体" w:hAnsi="宋体" w:cs="宋体"/>
                <w:color w:val="000000" w:themeColor="text1"/>
                <w:kern w:val="0"/>
                <w:sz w:val="21"/>
                <w:szCs w:val="21"/>
              </w:rPr>
            </w:pPr>
          </w:p>
        </w:tc>
        <w:tc>
          <w:tcPr>
            <w:tcW w:w="3827" w:type="dxa"/>
            <w:vMerge w:val="continue"/>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851" w:type="dxa"/>
            <w:shd w:val="clear" w:color="auto" w:fill="auto"/>
            <w:vAlign w:val="center"/>
          </w:tcPr>
          <w:p>
            <w:pPr>
              <w:spacing w:line="240" w:lineRule="auto"/>
              <w:jc w:val="center"/>
              <w:rPr>
                <w:rFonts w:ascii="宋体" w:hAnsi="宋体" w:cs="宋体"/>
                <w:color w:val="000000" w:themeColor="text1"/>
                <w:kern w:val="0"/>
                <w:sz w:val="21"/>
                <w:szCs w:val="21"/>
              </w:rPr>
            </w:pPr>
          </w:p>
        </w:tc>
        <w:tc>
          <w:tcPr>
            <w:tcW w:w="1112" w:type="dxa"/>
            <w:shd w:val="clear" w:color="auto" w:fill="auto"/>
            <w:vAlign w:val="center"/>
          </w:tcPr>
          <w:p>
            <w:pPr>
              <w:spacing w:line="240" w:lineRule="auto"/>
              <w:jc w:val="center"/>
              <w:rPr>
                <w:rFonts w:ascii="宋体" w:hAnsi="宋体" w:cs="宋体"/>
                <w:color w:val="000000" w:themeColor="text1"/>
                <w:kern w:val="0"/>
                <w:sz w:val="21"/>
                <w:szCs w:val="21"/>
              </w:rPr>
            </w:pPr>
          </w:p>
        </w:tc>
        <w:tc>
          <w:tcPr>
            <w:tcW w:w="709" w:type="dxa"/>
            <w:shd w:val="clear" w:color="auto" w:fill="auto"/>
            <w:vAlign w:val="center"/>
          </w:tcPr>
          <w:p>
            <w:pPr>
              <w:spacing w:line="240" w:lineRule="auto"/>
              <w:rPr>
                <w:rFonts w:ascii="宋体" w:hAnsi="宋体" w:cs="宋体"/>
                <w:color w:val="000000" w:themeColor="text1"/>
                <w:kern w:val="0"/>
                <w:sz w:val="21"/>
                <w:szCs w:val="21"/>
              </w:rPr>
            </w:pPr>
          </w:p>
        </w:tc>
        <w:tc>
          <w:tcPr>
            <w:tcW w:w="814" w:type="dxa"/>
            <w:shd w:val="clear" w:color="auto" w:fill="auto"/>
            <w:vAlign w:val="center"/>
          </w:tcPr>
          <w:p>
            <w:pPr>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654" w:type="dxa"/>
            <w:vMerge w:val="restart"/>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形式评审</w:t>
            </w: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承包商名称</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与营业执照、资质证书一致</w:t>
            </w:r>
          </w:p>
        </w:tc>
        <w:tc>
          <w:tcPr>
            <w:tcW w:w="851" w:type="dxa"/>
            <w:shd w:val="clear" w:color="auto" w:fill="auto"/>
            <w:vAlign w:val="center"/>
          </w:tcPr>
          <w:p>
            <w:pPr>
              <w:widowControl/>
              <w:snapToGrid w:val="0"/>
              <w:spacing w:line="240" w:lineRule="auto"/>
              <w:jc w:val="center"/>
              <w:rPr>
                <w:rFonts w:ascii="宋体" w:hAnsi="宋体" w:cs="宋体"/>
                <w:b/>
                <w:bCs/>
                <w:color w:val="000000" w:themeColor="text1"/>
                <w:kern w:val="0"/>
                <w:sz w:val="21"/>
                <w:szCs w:val="21"/>
              </w:rPr>
            </w:pPr>
          </w:p>
        </w:tc>
        <w:tc>
          <w:tcPr>
            <w:tcW w:w="1112" w:type="dxa"/>
            <w:shd w:val="clear" w:color="auto" w:fill="auto"/>
            <w:vAlign w:val="center"/>
          </w:tcPr>
          <w:p>
            <w:pPr>
              <w:snapToGrid w:val="0"/>
              <w:spacing w:line="240" w:lineRule="auto"/>
              <w:jc w:val="center"/>
              <w:rPr>
                <w:rFonts w:ascii="宋体" w:hAnsi="宋体" w:cs="宋体"/>
                <w:b/>
                <w:bCs/>
                <w:color w:val="000000" w:themeColor="text1"/>
                <w:kern w:val="0"/>
                <w:sz w:val="21"/>
                <w:szCs w:val="21"/>
              </w:rPr>
            </w:pPr>
          </w:p>
        </w:tc>
        <w:tc>
          <w:tcPr>
            <w:tcW w:w="709" w:type="dxa"/>
            <w:shd w:val="clear" w:color="auto" w:fill="auto"/>
            <w:vAlign w:val="center"/>
          </w:tcPr>
          <w:p>
            <w:pPr>
              <w:snapToGrid w:val="0"/>
              <w:spacing w:line="240" w:lineRule="auto"/>
              <w:jc w:val="center"/>
              <w:rPr>
                <w:rFonts w:ascii="宋体" w:hAnsi="宋体" w:cs="宋体"/>
                <w:b/>
                <w:bCs/>
                <w:color w:val="000000" w:themeColor="text1"/>
                <w:kern w:val="0"/>
                <w:sz w:val="21"/>
                <w:szCs w:val="21"/>
              </w:rPr>
            </w:pPr>
            <w:r>
              <w:rPr>
                <w:rFonts w:hint="eastAsia" w:ascii="宋体" w:hAnsi="宋体" w:cs="宋体"/>
                <w:b/>
                <w:bCs/>
                <w:color w:val="000000" w:themeColor="text1"/>
                <w:kern w:val="0"/>
                <w:sz w:val="21"/>
                <w:szCs w:val="21"/>
              </w:rPr>
              <w:t>　</w:t>
            </w:r>
          </w:p>
        </w:tc>
        <w:tc>
          <w:tcPr>
            <w:tcW w:w="814" w:type="dxa"/>
            <w:shd w:val="clear" w:color="auto" w:fill="auto"/>
            <w:vAlign w:val="center"/>
          </w:tcPr>
          <w:p>
            <w:pPr>
              <w:snapToGrid w:val="0"/>
              <w:spacing w:line="240" w:lineRule="auto"/>
              <w:jc w:val="center"/>
              <w:rPr>
                <w:rFonts w:ascii="宋体" w:hAnsi="宋体" w:cs="宋体"/>
                <w:b/>
                <w:bCs/>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654" w:type="dxa"/>
            <w:vMerge w:val="continue"/>
            <w:vAlign w:val="center"/>
          </w:tcPr>
          <w:p>
            <w:pPr>
              <w:widowControl/>
              <w:snapToGrid w:val="0"/>
              <w:spacing w:line="240" w:lineRule="auto"/>
              <w:jc w:val="left"/>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响应文件盖章</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封面、响应函：盖承包商单位</w:t>
            </w:r>
            <w:r>
              <w:rPr>
                <w:rFonts w:ascii="宋体" w:hAnsi="宋体" w:cs="宋体"/>
                <w:color w:val="000000" w:themeColor="text1"/>
                <w:kern w:val="0"/>
                <w:sz w:val="21"/>
                <w:szCs w:val="21"/>
              </w:rPr>
              <w:t>章</w:t>
            </w:r>
          </w:p>
        </w:tc>
        <w:tc>
          <w:tcPr>
            <w:tcW w:w="851"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654" w:type="dxa"/>
            <w:vMerge w:val="restart"/>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资格评审</w:t>
            </w: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营业执照</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持有企业法人营业执照（复印件）</w:t>
            </w:r>
          </w:p>
        </w:tc>
        <w:tc>
          <w:tcPr>
            <w:tcW w:w="851"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654" w:type="dxa"/>
            <w:vMerge w:val="continue"/>
            <w:vAlign w:val="center"/>
          </w:tcPr>
          <w:p>
            <w:pPr>
              <w:widowControl/>
              <w:snapToGrid w:val="0"/>
              <w:spacing w:line="240" w:lineRule="auto"/>
              <w:jc w:val="left"/>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资质证书</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bCs/>
                <w:color w:val="000000" w:themeColor="text1"/>
              </w:rPr>
              <w:t>建设行政主管部门核发的建筑工程施工总承包三级或以上资质证书（复印件）</w:t>
            </w:r>
          </w:p>
        </w:tc>
        <w:tc>
          <w:tcPr>
            <w:tcW w:w="851"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654" w:type="dxa"/>
            <w:vMerge w:val="continue"/>
            <w:vAlign w:val="center"/>
          </w:tcPr>
          <w:p>
            <w:pPr>
              <w:widowControl/>
              <w:snapToGrid w:val="0"/>
              <w:spacing w:line="240" w:lineRule="auto"/>
              <w:jc w:val="left"/>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安全生产许可证</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bCs/>
                <w:color w:val="000000" w:themeColor="text1"/>
              </w:rPr>
              <w:t>持有建设行政主管部门核发的有效安全生产许可证书（复印件）</w:t>
            </w:r>
          </w:p>
        </w:tc>
        <w:tc>
          <w:tcPr>
            <w:tcW w:w="851"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654" w:type="dxa"/>
            <w:vMerge w:val="continue"/>
            <w:vAlign w:val="center"/>
          </w:tcPr>
          <w:p>
            <w:pPr>
              <w:widowControl/>
              <w:snapToGrid w:val="0"/>
              <w:spacing w:line="240" w:lineRule="auto"/>
              <w:jc w:val="left"/>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管理体系认证</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olor w:val="000000" w:themeColor="text1"/>
              </w:rPr>
              <w:t>持有有效的质量管理、环境管理、职业健康安全管理体系认证证书（复印件）</w:t>
            </w:r>
          </w:p>
        </w:tc>
        <w:tc>
          <w:tcPr>
            <w:tcW w:w="851"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exact"/>
          <w:jc w:val="center"/>
        </w:trPr>
        <w:tc>
          <w:tcPr>
            <w:tcW w:w="654" w:type="dxa"/>
            <w:vMerge w:val="continue"/>
            <w:vAlign w:val="center"/>
          </w:tcPr>
          <w:p>
            <w:pPr>
              <w:widowControl/>
              <w:snapToGrid w:val="0"/>
              <w:spacing w:line="240" w:lineRule="auto"/>
              <w:jc w:val="left"/>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项目经理资格</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Ansi="宋体"/>
                <w:color w:val="000000" w:themeColor="text1"/>
                <w:sz w:val="21"/>
                <w:szCs w:val="21"/>
              </w:rPr>
              <w:t>项目</w:t>
            </w:r>
            <w:r>
              <w:rPr>
                <w:rFonts w:hint="eastAsia" w:hAnsi="宋体"/>
                <w:color w:val="000000" w:themeColor="text1"/>
                <w:sz w:val="21"/>
                <w:szCs w:val="21"/>
              </w:rPr>
              <w:t>经理持有建筑或市政工程专业二级或以上建造师注册证书（注册于承包商单位），持有</w:t>
            </w:r>
            <w:r>
              <w:rPr>
                <w:rFonts w:hint="eastAsia" w:ascii="宋体" w:hAnsi="宋体"/>
                <w:color w:val="000000" w:themeColor="text1"/>
                <w:sz w:val="21"/>
                <w:szCs w:val="21"/>
              </w:rPr>
              <w:t>建筑施工企业项目负责人安全生产考核合格证书</w:t>
            </w:r>
            <w:r>
              <w:rPr>
                <w:rFonts w:hint="eastAsia" w:ascii="宋体" w:hAnsi="宋体"/>
                <w:color w:val="000000" w:themeColor="text1"/>
              </w:rPr>
              <w:t>。</w:t>
            </w:r>
          </w:p>
        </w:tc>
        <w:tc>
          <w:tcPr>
            <w:tcW w:w="851"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jc w:val="center"/>
        </w:trPr>
        <w:tc>
          <w:tcPr>
            <w:tcW w:w="654" w:type="dxa"/>
            <w:vMerge w:val="continue"/>
            <w:vAlign w:val="center"/>
          </w:tcPr>
          <w:p>
            <w:pPr>
              <w:widowControl/>
              <w:snapToGrid w:val="0"/>
              <w:spacing w:line="240" w:lineRule="auto"/>
              <w:jc w:val="left"/>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安全负责人资格</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bCs/>
                <w:color w:val="000000" w:themeColor="text1"/>
              </w:rPr>
              <w:t>安全负责人持有建筑施工企业专职安全生产管理人员安全生产考核合格证书。</w:t>
            </w:r>
          </w:p>
        </w:tc>
        <w:tc>
          <w:tcPr>
            <w:tcW w:w="851"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4" w:type="dxa"/>
            <w:vMerge w:val="restart"/>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响应性评审</w:t>
            </w:r>
          </w:p>
        </w:tc>
        <w:tc>
          <w:tcPr>
            <w:tcW w:w="1559" w:type="dxa"/>
            <w:shd w:val="clear" w:color="auto" w:fill="auto"/>
            <w:tcMar>
              <w:left w:w="28" w:type="dxa"/>
              <w:right w:w="28" w:type="dxa"/>
            </w:tcMar>
            <w:vAlign w:val="center"/>
          </w:tcPr>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工程质量</w:t>
            </w:r>
          </w:p>
        </w:tc>
        <w:tc>
          <w:tcPr>
            <w:tcW w:w="3827" w:type="dxa"/>
            <w:shd w:val="clear" w:color="auto" w:fill="auto"/>
            <w:vAlign w:val="center"/>
          </w:tcPr>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符合采购文件要求</w:t>
            </w:r>
          </w:p>
        </w:tc>
        <w:tc>
          <w:tcPr>
            <w:tcW w:w="851" w:type="dxa"/>
            <w:shd w:val="clear" w:color="auto" w:fill="auto"/>
            <w:vAlign w:val="center"/>
          </w:tcPr>
          <w:p>
            <w:pPr>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4" w:type="dxa"/>
            <w:vMerge w:val="continue"/>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安全生产、文明施工费/安全文明施工费</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符合采购文件要求</w:t>
            </w:r>
          </w:p>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响应函、报价文件等，以算术性错误修正后重新核算的为准</w:t>
            </w:r>
          </w:p>
        </w:tc>
        <w:tc>
          <w:tcPr>
            <w:tcW w:w="851" w:type="dxa"/>
            <w:shd w:val="clear" w:color="auto" w:fill="auto"/>
            <w:vAlign w:val="center"/>
          </w:tcPr>
          <w:p>
            <w:pPr>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4" w:type="dxa"/>
            <w:vMerge w:val="continue"/>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报价</w:t>
            </w:r>
          </w:p>
        </w:tc>
        <w:tc>
          <w:tcPr>
            <w:tcW w:w="3827" w:type="dxa"/>
            <w:shd w:val="clear" w:color="auto" w:fill="auto"/>
            <w:vAlign w:val="center"/>
          </w:tcPr>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不低于成本（见响应函、报价文件等，以算术性错误修正为准）</w:t>
            </w:r>
          </w:p>
        </w:tc>
        <w:tc>
          <w:tcPr>
            <w:tcW w:w="851" w:type="dxa"/>
            <w:shd w:val="clear" w:color="auto" w:fill="auto"/>
            <w:vAlign w:val="center"/>
          </w:tcPr>
          <w:p>
            <w:pPr>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4" w:type="dxa"/>
            <w:vMerge w:val="continue"/>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技术偏差</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没有重大偏差（见技术偏差表等）</w:t>
            </w:r>
          </w:p>
        </w:tc>
        <w:tc>
          <w:tcPr>
            <w:tcW w:w="851" w:type="dxa"/>
            <w:shd w:val="clear" w:color="auto" w:fill="auto"/>
            <w:vAlign w:val="center"/>
          </w:tcPr>
          <w:p>
            <w:pPr>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4" w:type="dxa"/>
            <w:vMerge w:val="continue"/>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snapToGrid w:val="0"/>
              <w:spacing w:line="240" w:lineRule="auto"/>
              <w:rPr>
                <w:rFonts w:ascii="宋体" w:hAnsi="宋体" w:cs="宋体"/>
                <w:strike/>
                <w:color w:val="000000" w:themeColor="text1"/>
                <w:kern w:val="0"/>
                <w:sz w:val="21"/>
                <w:szCs w:val="21"/>
              </w:rPr>
            </w:pPr>
            <w:r>
              <w:rPr>
                <w:rFonts w:hint="eastAsia" w:ascii="宋体" w:hAnsi="宋体" w:cs="宋体"/>
                <w:color w:val="000000" w:themeColor="text1"/>
                <w:kern w:val="0"/>
                <w:sz w:val="21"/>
                <w:szCs w:val="21"/>
              </w:rPr>
              <w:t>商务偏差</w:t>
            </w:r>
          </w:p>
        </w:tc>
        <w:tc>
          <w:tcPr>
            <w:tcW w:w="3827" w:type="dxa"/>
            <w:shd w:val="clear" w:color="auto" w:fill="auto"/>
            <w:vAlign w:val="center"/>
          </w:tcPr>
          <w:p>
            <w:pPr>
              <w:widowControl/>
              <w:snapToGrid w:val="0"/>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没有重大偏差（见商务偏差表等）</w:t>
            </w:r>
          </w:p>
        </w:tc>
        <w:tc>
          <w:tcPr>
            <w:tcW w:w="851" w:type="dxa"/>
            <w:shd w:val="clear" w:color="auto" w:fill="auto"/>
            <w:vAlign w:val="center"/>
          </w:tcPr>
          <w:p>
            <w:pPr>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4" w:type="dxa"/>
            <w:vMerge w:val="continue"/>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1559" w:type="dxa"/>
            <w:shd w:val="clear" w:color="auto" w:fill="auto"/>
            <w:tcMar>
              <w:left w:w="28" w:type="dxa"/>
              <w:right w:w="28" w:type="dxa"/>
            </w:tcMar>
            <w:vAlign w:val="center"/>
          </w:tcPr>
          <w:p>
            <w:pPr>
              <w:snapToGrid w:val="0"/>
              <w:spacing w:line="240" w:lineRule="auto"/>
              <w:rPr>
                <w:rFonts w:ascii="宋体" w:hAnsi="宋体" w:cs="宋体"/>
                <w:color w:val="000000" w:themeColor="text1"/>
                <w:kern w:val="0"/>
                <w:sz w:val="21"/>
                <w:szCs w:val="21"/>
              </w:rPr>
            </w:pPr>
            <w:r>
              <w:rPr>
                <w:rFonts w:hint="eastAsia" w:cs="宋体" w:asciiTheme="minorEastAsia" w:hAnsiTheme="minorEastAsia" w:eastAsiaTheme="minorEastAsia"/>
                <w:color w:val="000000" w:themeColor="text1"/>
                <w:kern w:val="0"/>
                <w:sz w:val="21"/>
                <w:szCs w:val="21"/>
              </w:rPr>
              <w:t>其他</w:t>
            </w:r>
          </w:p>
        </w:tc>
        <w:tc>
          <w:tcPr>
            <w:tcW w:w="3827" w:type="dxa"/>
            <w:shd w:val="clear" w:color="auto" w:fill="auto"/>
            <w:vAlign w:val="center"/>
          </w:tcPr>
          <w:p>
            <w:pPr>
              <w:widowControl/>
              <w:snapToGrid w:val="0"/>
              <w:spacing w:line="240" w:lineRule="auto"/>
              <w:rPr>
                <w:rFonts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kern w:val="0"/>
                <w:sz w:val="21"/>
                <w:szCs w:val="21"/>
              </w:rPr>
              <w:t>不存在采购文件其他章节明确规定应否决竞价</w:t>
            </w:r>
            <w:r>
              <w:rPr>
                <w:rFonts w:cs="宋体" w:asciiTheme="minorEastAsia" w:hAnsiTheme="minorEastAsia" w:eastAsiaTheme="minorEastAsia"/>
                <w:color w:val="000000" w:themeColor="text1"/>
                <w:kern w:val="0"/>
                <w:sz w:val="21"/>
                <w:szCs w:val="21"/>
              </w:rPr>
              <w:t>的其他情形</w:t>
            </w:r>
            <w:r>
              <w:rPr>
                <w:rFonts w:hint="eastAsia" w:cs="宋体" w:asciiTheme="minorEastAsia" w:hAnsiTheme="minorEastAsia" w:eastAsiaTheme="minorEastAsia"/>
                <w:color w:val="000000" w:themeColor="text1"/>
                <w:kern w:val="0"/>
                <w:sz w:val="21"/>
                <w:szCs w:val="21"/>
              </w:rPr>
              <w:t>（本章附件2的情形不在此评审）</w:t>
            </w:r>
          </w:p>
        </w:tc>
        <w:tc>
          <w:tcPr>
            <w:tcW w:w="851" w:type="dxa"/>
            <w:shd w:val="clear" w:color="auto" w:fill="auto"/>
            <w:vAlign w:val="center"/>
          </w:tcPr>
          <w:p>
            <w:pPr>
              <w:snapToGrid w:val="0"/>
              <w:spacing w:line="240" w:lineRule="auto"/>
              <w:rPr>
                <w:rFonts w:ascii="宋体" w:hAnsi="宋体" w:cs="宋体"/>
                <w:color w:val="000000" w:themeColor="text1"/>
                <w:kern w:val="0"/>
                <w:sz w:val="21"/>
                <w:szCs w:val="21"/>
              </w:rPr>
            </w:pPr>
          </w:p>
        </w:tc>
        <w:tc>
          <w:tcPr>
            <w:tcW w:w="1112"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709"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c>
          <w:tcPr>
            <w:tcW w:w="814" w:type="dxa"/>
            <w:shd w:val="clear" w:color="auto" w:fill="auto"/>
            <w:vAlign w:val="center"/>
          </w:tcPr>
          <w:p>
            <w:pPr>
              <w:widowControl/>
              <w:snapToGrid w:val="0"/>
              <w:spacing w:line="240" w:lineRule="auto"/>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40" w:type="dxa"/>
            <w:gridSpan w:val="3"/>
            <w:shd w:val="clear" w:color="auto" w:fill="auto"/>
            <w:tcMar>
              <w:left w:w="28" w:type="dxa"/>
              <w:right w:w="28" w:type="dxa"/>
            </w:tcMar>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初步评审最终结论</w:t>
            </w:r>
            <w:r>
              <w:rPr>
                <w:rFonts w:hint="eastAsia" w:ascii="华文楷体" w:hAnsi="华文楷体" w:eastAsia="华文楷体"/>
                <w:color w:val="000000" w:themeColor="text1"/>
                <w:sz w:val="18"/>
                <w:szCs w:val="18"/>
              </w:rPr>
              <w:t>：为“通过”，或“不通过”，只要有一项不符合，即不通过，通过打√，不通过打×</w:t>
            </w:r>
          </w:p>
        </w:tc>
        <w:tc>
          <w:tcPr>
            <w:tcW w:w="851" w:type="dxa"/>
            <w:shd w:val="clear" w:color="auto" w:fill="auto"/>
            <w:vAlign w:val="center"/>
          </w:tcPr>
          <w:p>
            <w:pPr>
              <w:widowControl/>
              <w:snapToGrid w:val="0"/>
              <w:spacing w:line="240" w:lineRule="auto"/>
              <w:jc w:val="center"/>
              <w:rPr>
                <w:rFonts w:ascii="宋体" w:hAnsi="宋体" w:cs="宋体"/>
                <w:color w:val="000000" w:themeColor="text1"/>
                <w:kern w:val="0"/>
                <w:sz w:val="21"/>
                <w:szCs w:val="21"/>
              </w:rPr>
            </w:pPr>
          </w:p>
        </w:tc>
        <w:tc>
          <w:tcPr>
            <w:tcW w:w="1112" w:type="dxa"/>
            <w:shd w:val="clear" w:color="auto" w:fill="auto"/>
            <w:vAlign w:val="center"/>
          </w:tcPr>
          <w:p>
            <w:pPr>
              <w:snapToGrid w:val="0"/>
              <w:spacing w:line="240" w:lineRule="auto"/>
              <w:jc w:val="center"/>
              <w:rPr>
                <w:rFonts w:ascii="宋体" w:hAnsi="宋体" w:cs="宋体"/>
                <w:color w:val="000000" w:themeColor="text1"/>
                <w:kern w:val="0"/>
                <w:sz w:val="21"/>
                <w:szCs w:val="21"/>
              </w:rPr>
            </w:pPr>
          </w:p>
        </w:tc>
        <w:tc>
          <w:tcPr>
            <w:tcW w:w="709" w:type="dxa"/>
            <w:shd w:val="clear" w:color="auto" w:fill="auto"/>
            <w:vAlign w:val="center"/>
          </w:tcPr>
          <w:p>
            <w:pPr>
              <w:snapToGrid w:val="0"/>
              <w:spacing w:line="240" w:lineRule="auto"/>
              <w:ind w:left="4"/>
              <w:jc w:val="center"/>
              <w:rPr>
                <w:rFonts w:ascii="宋体" w:hAnsi="宋体" w:cs="宋体"/>
                <w:color w:val="000000" w:themeColor="text1"/>
                <w:kern w:val="0"/>
                <w:sz w:val="21"/>
                <w:szCs w:val="21"/>
              </w:rPr>
            </w:pPr>
          </w:p>
        </w:tc>
        <w:tc>
          <w:tcPr>
            <w:tcW w:w="814" w:type="dxa"/>
            <w:shd w:val="clear" w:color="auto" w:fill="auto"/>
            <w:vAlign w:val="center"/>
          </w:tcPr>
          <w:p>
            <w:pPr>
              <w:snapToGrid w:val="0"/>
              <w:spacing w:line="240" w:lineRule="auto"/>
              <w:ind w:left="4"/>
              <w:jc w:val="center"/>
              <w:rPr>
                <w:rFonts w:ascii="宋体" w:hAnsi="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526" w:type="dxa"/>
            <w:gridSpan w:val="7"/>
            <w:shd w:val="clear" w:color="auto" w:fill="auto"/>
            <w:tcMar>
              <w:left w:w="28" w:type="dxa"/>
              <w:right w:w="28" w:type="dxa"/>
            </w:tcMar>
            <w:vAlign w:val="center"/>
          </w:tcPr>
          <w:p>
            <w:pPr>
              <w:widowControl/>
              <w:snapToGrid w:val="0"/>
              <w:spacing w:beforeLines="10" w:line="240" w:lineRule="auto"/>
              <w:ind w:right="839"/>
              <w:rPr>
                <w:rFonts w:ascii="宋体" w:hAnsi="宋体"/>
                <w:color w:val="000000" w:themeColor="text1"/>
                <w:sz w:val="21"/>
                <w:szCs w:val="21"/>
              </w:rPr>
            </w:pPr>
            <w:r>
              <w:rPr>
                <w:rFonts w:hint="eastAsia" w:ascii="宋体" w:hAnsi="宋体" w:cs="宋体"/>
                <w:color w:val="000000" w:themeColor="text1"/>
                <w:kern w:val="0"/>
                <w:sz w:val="21"/>
                <w:szCs w:val="21"/>
              </w:rPr>
              <w:t>评审小组全体成员签字：</w:t>
            </w:r>
          </w:p>
          <w:p>
            <w:pPr>
              <w:wordWrap w:val="0"/>
              <w:snapToGrid w:val="0"/>
              <w:spacing w:line="240" w:lineRule="auto"/>
              <w:ind w:left="4"/>
              <w:jc w:val="right"/>
              <w:rPr>
                <w:rFonts w:ascii="宋体" w:hAnsi="宋体" w:cs="宋体"/>
                <w:color w:val="000000" w:themeColor="text1"/>
                <w:kern w:val="0"/>
                <w:sz w:val="21"/>
                <w:szCs w:val="21"/>
              </w:rPr>
            </w:pPr>
            <w:r>
              <w:rPr>
                <w:rFonts w:hint="eastAsia" w:ascii="宋体" w:hAnsi="宋体"/>
                <w:color w:val="000000" w:themeColor="text1"/>
                <w:sz w:val="21"/>
                <w:szCs w:val="21"/>
              </w:rPr>
              <w:t>年    月    日</w:t>
            </w:r>
          </w:p>
        </w:tc>
      </w:tr>
    </w:tbl>
    <w:p>
      <w:pPr>
        <w:rPr>
          <w:rFonts w:ascii="宋体" w:hAnsi="宋体"/>
          <w:bCs/>
          <w:color w:val="000000" w:themeColor="text1"/>
          <w:kern w:val="0"/>
          <w:szCs w:val="32"/>
        </w:rPr>
      </w:pPr>
    </w:p>
    <w:p>
      <w:pPr>
        <w:pStyle w:val="3"/>
        <w:rPr>
          <w:rFonts w:ascii="宋体" w:hAnsi="宋体"/>
          <w:color w:val="000000" w:themeColor="text1"/>
        </w:rPr>
      </w:pPr>
      <w:bookmarkStart w:id="177" w:name="_Toc475792106"/>
      <w:bookmarkStart w:id="178" w:name="_Toc20642710"/>
      <w:bookmarkStart w:id="179" w:name="_Toc526793365"/>
      <w:r>
        <w:rPr>
          <w:rFonts w:hint="eastAsia" w:ascii="宋体" w:hAnsi="宋体"/>
          <w:b w:val="0"/>
          <w:bCs w:val="0"/>
          <w:color w:val="000000" w:themeColor="text1"/>
        </w:rPr>
        <w:t>附件3：承包商</w:t>
      </w:r>
      <w:r>
        <w:rPr>
          <w:rFonts w:ascii="宋体" w:hAnsi="宋体"/>
          <w:b w:val="0"/>
          <w:bCs w:val="0"/>
          <w:color w:val="000000" w:themeColor="text1"/>
        </w:rPr>
        <w:t>排序</w:t>
      </w:r>
      <w:r>
        <w:rPr>
          <w:rFonts w:hint="eastAsia" w:ascii="宋体" w:hAnsi="宋体"/>
          <w:b w:val="0"/>
          <w:bCs w:val="0"/>
          <w:color w:val="000000" w:themeColor="text1"/>
        </w:rPr>
        <w:t>表</w:t>
      </w:r>
      <w:bookmarkEnd w:id="177"/>
      <w:bookmarkEnd w:id="178"/>
      <w:bookmarkEnd w:id="179"/>
    </w:p>
    <w:p>
      <w:pPr>
        <w:snapToGrid w:val="0"/>
        <w:spacing w:afterLines="50" w:line="240" w:lineRule="auto"/>
        <w:jc w:val="center"/>
        <w:rPr>
          <w:b/>
          <w:bCs/>
          <w:color w:val="000000" w:themeColor="text1"/>
          <w:sz w:val="30"/>
          <w:szCs w:val="30"/>
        </w:rPr>
      </w:pPr>
      <w:r>
        <w:rPr>
          <w:rFonts w:hint="eastAsia"/>
          <w:b/>
          <w:bCs/>
          <w:color w:val="000000" w:themeColor="text1"/>
          <w:sz w:val="30"/>
          <w:szCs w:val="30"/>
        </w:rPr>
        <w:t>承包商</w:t>
      </w:r>
      <w:r>
        <w:rPr>
          <w:b/>
          <w:bCs/>
          <w:color w:val="000000" w:themeColor="text1"/>
          <w:sz w:val="30"/>
          <w:szCs w:val="30"/>
        </w:rPr>
        <w:t>排序</w:t>
      </w:r>
      <w:r>
        <w:rPr>
          <w:rFonts w:hint="eastAsia"/>
          <w:b/>
          <w:bCs/>
          <w:color w:val="000000" w:themeColor="text1"/>
          <w:sz w:val="30"/>
          <w:szCs w:val="30"/>
        </w:rPr>
        <w:t>表</w:t>
      </w:r>
    </w:p>
    <w:tbl>
      <w:tblPr>
        <w:tblStyle w:val="60"/>
        <w:tblW w:w="9229" w:type="dxa"/>
        <w:tblInd w:w="93" w:type="dxa"/>
        <w:tblLayout w:type="autofit"/>
        <w:tblCellMar>
          <w:top w:w="0" w:type="dxa"/>
          <w:left w:w="108" w:type="dxa"/>
          <w:bottom w:w="0" w:type="dxa"/>
          <w:right w:w="108" w:type="dxa"/>
        </w:tblCellMar>
      </w:tblPr>
      <w:tblGrid>
        <w:gridCol w:w="724"/>
        <w:gridCol w:w="3686"/>
        <w:gridCol w:w="1984"/>
        <w:gridCol w:w="1766"/>
        <w:gridCol w:w="1069"/>
      </w:tblGrid>
      <w:tr>
        <w:tblPrEx>
          <w:tblCellMar>
            <w:top w:w="0" w:type="dxa"/>
            <w:left w:w="108" w:type="dxa"/>
            <w:bottom w:w="0" w:type="dxa"/>
            <w:right w:w="108" w:type="dxa"/>
          </w:tblCellMar>
        </w:tblPrEx>
        <w:trPr>
          <w:trHeight w:val="92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序号</w:t>
            </w:r>
          </w:p>
        </w:tc>
        <w:tc>
          <w:tcPr>
            <w:tcW w:w="368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承包商名称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第一次报价</w:t>
            </w:r>
          </w:p>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 xml:space="preserve"> 优惠率（%）</w:t>
            </w:r>
          </w:p>
        </w:tc>
        <w:tc>
          <w:tcPr>
            <w:tcW w:w="17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最终报价</w:t>
            </w:r>
          </w:p>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 xml:space="preserve">  优惠率（%）</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备注</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368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198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76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069"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p>
        </w:tc>
        <w:tc>
          <w:tcPr>
            <w:tcW w:w="368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198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76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069"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368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198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p>
        </w:tc>
        <w:tc>
          <w:tcPr>
            <w:tcW w:w="176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069"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368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198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76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p>
        </w:tc>
        <w:tc>
          <w:tcPr>
            <w:tcW w:w="1069"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368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bCs/>
                <w:color w:val="000000" w:themeColor="text1"/>
                <w:kern w:val="0"/>
              </w:rPr>
            </w:pPr>
          </w:p>
        </w:tc>
        <w:tc>
          <w:tcPr>
            <w:tcW w:w="198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p>
        </w:tc>
        <w:tc>
          <w:tcPr>
            <w:tcW w:w="176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p>
        </w:tc>
        <w:tc>
          <w:tcPr>
            <w:tcW w:w="1069"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368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98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76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c>
          <w:tcPr>
            <w:tcW w:w="1069"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540" w:hRule="atLeast"/>
        </w:trPr>
        <w:tc>
          <w:tcPr>
            <w:tcW w:w="922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snapToGrid w:val="0"/>
              <w:spacing w:beforeLines="3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评审小组全体成员签字：</w:t>
            </w:r>
          </w:p>
          <w:p>
            <w:pPr>
              <w:widowControl/>
              <w:snapToGrid w:val="0"/>
              <w:spacing w:beforeLines="30"/>
              <w:jc w:val="left"/>
              <w:rPr>
                <w:rFonts w:ascii="宋体" w:hAnsi="宋体" w:cs="宋体"/>
                <w:color w:val="000000" w:themeColor="text1"/>
                <w:kern w:val="0"/>
                <w:sz w:val="21"/>
                <w:szCs w:val="21"/>
              </w:rPr>
            </w:pPr>
          </w:p>
          <w:p>
            <w:pPr>
              <w:widowControl/>
              <w:snapToGrid w:val="0"/>
              <w:spacing w:beforeLines="30"/>
              <w:jc w:val="left"/>
              <w:rPr>
                <w:rFonts w:ascii="宋体" w:hAnsi="宋体" w:cs="宋体"/>
                <w:color w:val="000000" w:themeColor="text1"/>
                <w:kern w:val="0"/>
                <w:sz w:val="21"/>
                <w:szCs w:val="21"/>
              </w:rPr>
            </w:pPr>
          </w:p>
          <w:p>
            <w:pPr>
              <w:widowControl/>
              <w:wordWrap w:val="0"/>
              <w:snapToGrid w:val="0"/>
              <w:jc w:val="right"/>
              <w:rPr>
                <w:rFonts w:ascii="宋体" w:hAnsi="宋体" w:cs="宋体"/>
                <w:color w:val="000000" w:themeColor="text1"/>
                <w:kern w:val="0"/>
                <w:sz w:val="21"/>
                <w:szCs w:val="21"/>
              </w:rPr>
            </w:pPr>
            <w:r>
              <w:rPr>
                <w:rFonts w:hint="eastAsia" w:ascii="宋体" w:hAnsi="宋体" w:cs="宋体"/>
                <w:color w:val="000000" w:themeColor="text1"/>
                <w:kern w:val="0"/>
                <w:sz w:val="21"/>
                <w:szCs w:val="21"/>
              </w:rPr>
              <w:t>年     月     日</w:t>
            </w:r>
          </w:p>
        </w:tc>
      </w:tr>
    </w:tbl>
    <w:p>
      <w:pPr>
        <w:pStyle w:val="3"/>
        <w:rPr>
          <w:rFonts w:ascii="宋体" w:hAnsi="宋体"/>
          <w:b w:val="0"/>
          <w:color w:val="000000" w:themeColor="text1"/>
        </w:rPr>
        <w:sectPr>
          <w:headerReference r:id="rId9" w:type="default"/>
          <w:pgSz w:w="11906" w:h="16838"/>
          <w:pgMar w:top="1418" w:right="1418" w:bottom="1418" w:left="1418" w:header="737" w:footer="992" w:gutter="0"/>
          <w:cols w:space="425" w:num="1"/>
          <w:docGrid w:linePitch="326" w:charSpace="0"/>
        </w:sectPr>
      </w:pPr>
    </w:p>
    <w:p>
      <w:pPr>
        <w:pStyle w:val="3"/>
        <w:rPr>
          <w:rFonts w:ascii="宋体" w:hAnsi="宋体"/>
          <w:b w:val="0"/>
          <w:color w:val="000000" w:themeColor="text1"/>
        </w:rPr>
      </w:pPr>
      <w:bookmarkStart w:id="180" w:name="_Toc20642711"/>
      <w:r>
        <w:rPr>
          <w:rFonts w:hint="eastAsia" w:ascii="宋体" w:hAnsi="宋体"/>
          <w:b w:val="0"/>
          <w:color w:val="000000" w:themeColor="text1"/>
        </w:rPr>
        <w:t>附件4：谈判记录文件</w:t>
      </w:r>
      <w:r>
        <w:rPr>
          <w:rFonts w:hint="eastAsia" w:ascii="华文楷体" w:hAnsi="华文楷体" w:eastAsia="华文楷体"/>
          <w:b w:val="0"/>
          <w:color w:val="000000" w:themeColor="text1"/>
          <w:sz w:val="21"/>
          <w:szCs w:val="21"/>
        </w:rPr>
        <w:t>（适用于公开招标采购转为独家谈判的情形）</w:t>
      </w:r>
      <w:bookmarkEnd w:id="180"/>
    </w:p>
    <w:p>
      <w:pPr>
        <w:spacing w:line="240" w:lineRule="auto"/>
        <w:jc w:val="center"/>
        <w:rPr>
          <w:rFonts w:ascii="宋体" w:hAnsi="宋体"/>
          <w:b/>
          <w:bCs/>
          <w:color w:val="000000" w:themeColor="text1"/>
          <w:sz w:val="30"/>
          <w:szCs w:val="30"/>
        </w:rPr>
      </w:pPr>
      <w:r>
        <w:rPr>
          <w:rFonts w:hint="eastAsia" w:ascii="宋体" w:hAnsi="宋体"/>
          <w:b/>
          <w:bCs/>
          <w:color w:val="000000" w:themeColor="text1"/>
          <w:sz w:val="30"/>
          <w:szCs w:val="30"/>
        </w:rPr>
        <w:t>(采购项目名称)（采购项目类别）（标段名称）</w:t>
      </w:r>
    </w:p>
    <w:p>
      <w:pPr>
        <w:spacing w:line="240" w:lineRule="auto"/>
        <w:jc w:val="center"/>
        <w:rPr>
          <w:rFonts w:ascii="宋体" w:hAnsi="宋体"/>
          <w:b/>
          <w:bCs/>
          <w:color w:val="000000" w:themeColor="text1"/>
          <w:sz w:val="30"/>
          <w:szCs w:val="30"/>
        </w:rPr>
      </w:pPr>
      <w:r>
        <w:rPr>
          <w:rFonts w:hint="eastAsia" w:ascii="宋体" w:hAnsi="宋体"/>
          <w:b/>
          <w:bCs/>
          <w:color w:val="000000" w:themeColor="text1"/>
          <w:sz w:val="30"/>
          <w:szCs w:val="30"/>
        </w:rPr>
        <w:t>谈判记录（一/二</w:t>
      </w:r>
      <w:r>
        <w:rPr>
          <w:rFonts w:ascii="宋体" w:hAnsi="宋体"/>
          <w:b/>
          <w:bCs/>
          <w:color w:val="000000" w:themeColor="text1"/>
          <w:sz w:val="30"/>
          <w:szCs w:val="30"/>
        </w:rPr>
        <w:t>…轮次</w:t>
      </w:r>
      <w:r>
        <w:rPr>
          <w:rFonts w:hint="eastAsia" w:ascii="宋体" w:hAnsi="宋体"/>
          <w:b/>
          <w:bCs/>
          <w:color w:val="000000" w:themeColor="text1"/>
          <w:sz w:val="30"/>
          <w:szCs w:val="30"/>
        </w:rPr>
        <w:t>）</w:t>
      </w:r>
    </w:p>
    <w:p>
      <w:pPr>
        <w:snapToGrid w:val="0"/>
        <w:rPr>
          <w:rFonts w:ascii="宋体" w:hAnsi="宋体"/>
          <w:color w:val="000000" w:themeColor="text1"/>
        </w:rPr>
      </w:pPr>
    </w:p>
    <w:p>
      <w:pPr>
        <w:snapToGrid w:val="0"/>
        <w:rPr>
          <w:rFonts w:ascii="宋体" w:hAnsi="宋体"/>
          <w:color w:val="000000" w:themeColor="text1"/>
        </w:rPr>
      </w:pPr>
      <w:r>
        <w:rPr>
          <w:rFonts w:hint="eastAsia" w:ascii="宋体" w:hAnsi="宋体"/>
          <w:color w:val="000000" w:themeColor="text1"/>
        </w:rPr>
        <w:t>采购人：</w:t>
      </w:r>
    </w:p>
    <w:p>
      <w:pPr>
        <w:snapToGrid w:val="0"/>
        <w:rPr>
          <w:rFonts w:ascii="宋体" w:hAnsi="宋体"/>
          <w:color w:val="000000" w:themeColor="text1"/>
        </w:rPr>
      </w:pPr>
      <w:r>
        <w:rPr>
          <w:rFonts w:hint="eastAsia" w:ascii="宋体" w:hAnsi="宋体"/>
          <w:color w:val="000000" w:themeColor="text1"/>
        </w:rPr>
        <w:t>承包商：</w:t>
      </w:r>
    </w:p>
    <w:p>
      <w:pPr>
        <w:snapToGrid w:val="0"/>
        <w:rPr>
          <w:rFonts w:ascii="宋体" w:hAnsi="宋体"/>
          <w:color w:val="000000" w:themeColor="text1"/>
        </w:rPr>
      </w:pPr>
      <w:r>
        <w:rPr>
          <w:rFonts w:hint="eastAsia" w:ascii="宋体" w:hAnsi="宋体"/>
          <w:color w:val="000000" w:themeColor="text1"/>
        </w:rPr>
        <w:t>谈判地址及场所：</w:t>
      </w:r>
    </w:p>
    <w:p>
      <w:pPr>
        <w:snapToGrid w:val="0"/>
        <w:rPr>
          <w:rFonts w:ascii="宋体" w:hAnsi="宋体"/>
          <w:color w:val="000000" w:themeColor="text1"/>
        </w:rPr>
      </w:pPr>
      <w:r>
        <w:rPr>
          <w:rFonts w:hint="eastAsia" w:ascii="宋体" w:hAnsi="宋体"/>
          <w:color w:val="000000" w:themeColor="text1"/>
        </w:rPr>
        <w:t>谈判开始时间：xxxx年xx月xx日xx时xx分。</w:t>
      </w:r>
    </w:p>
    <w:p>
      <w:pPr>
        <w:snapToGrid w:val="0"/>
        <w:rPr>
          <w:rFonts w:ascii="宋体" w:hAnsi="宋体"/>
          <w:color w:val="000000" w:themeColor="text1"/>
        </w:rPr>
      </w:pPr>
      <w:r>
        <w:rPr>
          <w:rFonts w:hint="eastAsia" w:ascii="宋体" w:hAnsi="宋体"/>
          <w:color w:val="000000" w:themeColor="text1"/>
        </w:rPr>
        <w:t>谈判主要内容及结果：</w:t>
      </w:r>
    </w:p>
    <w:p>
      <w:pPr>
        <w:snapToGrid w:val="0"/>
        <w:ind w:firstLine="480" w:firstLineChars="200"/>
        <w:rPr>
          <w:rFonts w:ascii="宋体" w:hAnsi="宋体"/>
          <w:color w:val="000000" w:themeColor="text1"/>
        </w:rPr>
      </w:pPr>
      <w:r>
        <w:rPr>
          <w:rFonts w:hint="eastAsia" w:ascii="宋体" w:hAnsi="宋体"/>
          <w:color w:val="000000" w:themeColor="text1"/>
        </w:rPr>
        <w:t>一、</w:t>
      </w:r>
    </w:p>
    <w:p>
      <w:pPr>
        <w:snapToGrid w:val="0"/>
        <w:ind w:firstLine="480" w:firstLineChars="200"/>
        <w:rPr>
          <w:rFonts w:ascii="宋体" w:hAnsi="宋体"/>
          <w:color w:val="000000" w:themeColor="text1"/>
        </w:rPr>
      </w:pPr>
      <w:r>
        <w:rPr>
          <w:rFonts w:hint="eastAsia" w:ascii="宋体" w:hAnsi="宋体"/>
          <w:color w:val="000000" w:themeColor="text1"/>
        </w:rPr>
        <w:t>二、</w:t>
      </w:r>
    </w:p>
    <w:p>
      <w:pPr>
        <w:snapToGrid w:val="0"/>
        <w:ind w:firstLine="480" w:firstLineChars="200"/>
        <w:rPr>
          <w:rFonts w:ascii="宋体" w:hAnsi="宋体"/>
          <w:color w:val="000000" w:themeColor="text1"/>
        </w:rPr>
      </w:pPr>
      <w:r>
        <w:rPr>
          <w:rFonts w:ascii="宋体" w:hAnsi="宋体"/>
          <w:color w:val="000000" w:themeColor="text1"/>
        </w:rPr>
        <w:t>……</w:t>
      </w:r>
    </w:p>
    <w:p>
      <w:pPr>
        <w:snapToGrid w:val="0"/>
        <w:rPr>
          <w:rFonts w:ascii="华文楷体" w:hAnsi="华文楷体" w:eastAsia="华文楷体"/>
          <w:color w:val="000000" w:themeColor="text1"/>
          <w:sz w:val="21"/>
          <w:szCs w:val="21"/>
        </w:rPr>
      </w:pPr>
      <w:r>
        <w:rPr>
          <w:rFonts w:hint="eastAsia" w:ascii="华文楷体" w:hAnsi="华文楷体" w:eastAsia="华文楷体"/>
          <w:color w:val="000000" w:themeColor="text1"/>
          <w:sz w:val="21"/>
          <w:szCs w:val="21"/>
        </w:rPr>
        <w:t>或：</w:t>
      </w:r>
    </w:p>
    <w:p>
      <w:pPr>
        <w:snapToGrid w:val="0"/>
        <w:ind w:firstLine="480" w:firstLineChars="200"/>
        <w:rPr>
          <w:rFonts w:ascii="宋体" w:hAnsi="宋体"/>
          <w:color w:val="000000" w:themeColor="text1"/>
          <w:sz w:val="21"/>
          <w:szCs w:val="21"/>
        </w:rPr>
      </w:pPr>
      <w:r>
        <w:rPr>
          <w:rFonts w:hint="eastAsia" w:ascii="宋体" w:hAnsi="宋体"/>
          <w:color w:val="000000" w:themeColor="text1"/>
        </w:rPr>
        <w:t>经双方谈判确定，承包商对已提交的响应文件内容不进行修订/承包商对提交的响应文件内容、补充响应文件内容不再进行修订。</w:t>
      </w:r>
      <w:r>
        <w:rPr>
          <w:rFonts w:hint="eastAsia" w:ascii="华文楷体" w:hAnsi="华文楷体" w:eastAsia="华文楷体"/>
          <w:color w:val="000000" w:themeColor="text1"/>
          <w:sz w:val="21"/>
          <w:szCs w:val="21"/>
        </w:rPr>
        <w:t>（出现此情形时，采购人或招标代理机构不需要再次发出采购补充文件，承包商不再次递交终版响应文件）</w:t>
      </w:r>
    </w:p>
    <w:p>
      <w:pPr>
        <w:tabs>
          <w:tab w:val="left" w:pos="4510"/>
        </w:tabs>
        <w:jc w:val="left"/>
        <w:rPr>
          <w:rFonts w:ascii="宋体" w:hAnsi="宋体"/>
          <w:color w:val="000000" w:themeColor="text1"/>
        </w:rPr>
      </w:pPr>
    </w:p>
    <w:p>
      <w:pPr>
        <w:tabs>
          <w:tab w:val="left" w:pos="4510"/>
        </w:tabs>
        <w:jc w:val="left"/>
        <w:rPr>
          <w:rFonts w:ascii="宋体" w:hAnsi="宋体"/>
          <w:color w:val="000000" w:themeColor="text1"/>
        </w:rPr>
      </w:pPr>
      <w:r>
        <w:rPr>
          <w:rFonts w:hint="eastAsia" w:ascii="宋体" w:hAnsi="宋体"/>
          <w:color w:val="000000" w:themeColor="text1"/>
        </w:rPr>
        <w:t xml:space="preserve">本记录附件：承包商法定代表人证明文件原件和身份证复印件 </w:t>
      </w:r>
      <w:r>
        <w:rPr>
          <w:rFonts w:hint="eastAsia" w:ascii="华文楷体" w:hAnsi="华文楷体" w:eastAsia="华文楷体"/>
          <w:color w:val="000000" w:themeColor="text1"/>
          <w:sz w:val="21"/>
          <w:szCs w:val="21"/>
        </w:rPr>
        <w:t>或：</w:t>
      </w:r>
    </w:p>
    <w:p>
      <w:pPr>
        <w:tabs>
          <w:tab w:val="left" w:pos="4510"/>
        </w:tabs>
        <w:ind w:firstLine="1440" w:firstLineChars="600"/>
        <w:jc w:val="left"/>
        <w:rPr>
          <w:rFonts w:ascii="楷体" w:hAnsi="楷体" w:eastAsia="楷体"/>
          <w:color w:val="000000" w:themeColor="text1"/>
          <w:sz w:val="21"/>
          <w:szCs w:val="21"/>
        </w:rPr>
      </w:pPr>
      <w:r>
        <w:rPr>
          <w:rFonts w:hint="eastAsia" w:ascii="宋体" w:hAnsi="宋体"/>
          <w:color w:val="000000" w:themeColor="text1"/>
        </w:rPr>
        <w:t>委托代理人委托代理书原件和身份证复印件（附后）</w:t>
      </w:r>
    </w:p>
    <w:p>
      <w:pPr>
        <w:snapToGrid w:val="0"/>
        <w:rPr>
          <w:rFonts w:ascii="宋体" w:hAnsi="宋体"/>
          <w:color w:val="000000" w:themeColor="text1"/>
        </w:rPr>
      </w:pPr>
    </w:p>
    <w:p>
      <w:pPr>
        <w:snapToGrid w:val="0"/>
        <w:rPr>
          <w:rFonts w:ascii="宋体" w:hAnsi="宋体"/>
          <w:color w:val="000000" w:themeColor="text1"/>
        </w:rPr>
      </w:pPr>
      <w:r>
        <w:rPr>
          <w:rFonts w:hint="eastAsia" w:ascii="宋体" w:hAnsi="宋体"/>
          <w:color w:val="000000" w:themeColor="text1"/>
        </w:rPr>
        <w:t>评审小组成员（签字）：</w:t>
      </w:r>
    </w:p>
    <w:p>
      <w:pPr>
        <w:snapToGrid w:val="0"/>
        <w:rPr>
          <w:rFonts w:ascii="宋体" w:hAnsi="宋体"/>
          <w:color w:val="000000" w:themeColor="text1"/>
        </w:rPr>
      </w:pPr>
    </w:p>
    <w:p>
      <w:pPr>
        <w:snapToGrid w:val="0"/>
        <w:rPr>
          <w:rFonts w:ascii="宋体" w:hAnsi="宋体"/>
          <w:color w:val="000000" w:themeColor="text1"/>
        </w:rPr>
      </w:pPr>
      <w:r>
        <w:rPr>
          <w:rFonts w:hint="eastAsia" w:ascii="宋体" w:hAnsi="宋体"/>
          <w:color w:val="000000" w:themeColor="text1"/>
        </w:rPr>
        <w:t>承包商法定代表人或委托代理人（签字）：</w:t>
      </w:r>
    </w:p>
    <w:p>
      <w:pPr>
        <w:snapToGrid w:val="0"/>
        <w:rPr>
          <w:rFonts w:ascii="宋体" w:hAnsi="宋体"/>
          <w:color w:val="000000" w:themeColor="text1"/>
        </w:rPr>
      </w:pPr>
    </w:p>
    <w:p>
      <w:pPr>
        <w:snapToGrid w:val="0"/>
        <w:ind w:firstLine="480" w:firstLineChars="200"/>
        <w:jc w:val="center"/>
        <w:rPr>
          <w:rFonts w:ascii="宋体" w:hAnsi="宋体"/>
          <w:color w:val="000000" w:themeColor="text1"/>
        </w:rPr>
      </w:pPr>
    </w:p>
    <w:p>
      <w:pPr>
        <w:snapToGrid w:val="0"/>
        <w:ind w:firstLine="480" w:firstLineChars="200"/>
        <w:jc w:val="center"/>
        <w:rPr>
          <w:rFonts w:ascii="宋体" w:hAnsi="宋体"/>
          <w:color w:val="000000" w:themeColor="text1"/>
        </w:rPr>
      </w:pPr>
    </w:p>
    <w:p>
      <w:pPr>
        <w:tabs>
          <w:tab w:val="left" w:pos="5055"/>
        </w:tabs>
        <w:spacing w:line="480" w:lineRule="auto"/>
        <w:ind w:right="240"/>
        <w:jc w:val="right"/>
        <w:rPr>
          <w:rFonts w:ascii="宋体" w:hAnsi="宋体"/>
          <w:color w:val="000000" w:themeColor="text1"/>
          <w:u w:val="single"/>
        </w:rPr>
      </w:pPr>
      <w:r>
        <w:rPr>
          <w:rFonts w:hint="eastAsia" w:ascii="宋体" w:hAnsi="宋体"/>
          <w:color w:val="000000" w:themeColor="text1"/>
        </w:rPr>
        <w:t>谈判结束时间：xxxx年xx月xx日xx时xx分</w:t>
      </w:r>
    </w:p>
    <w:p>
      <w:pPr>
        <w:tabs>
          <w:tab w:val="left" w:pos="4510"/>
        </w:tabs>
        <w:spacing w:line="480" w:lineRule="auto"/>
        <w:jc w:val="left"/>
        <w:rPr>
          <w:rFonts w:ascii="宋体"/>
          <w:color w:val="000000" w:themeColor="text1"/>
        </w:rPr>
      </w:pPr>
      <w:r>
        <w:rPr>
          <w:rFonts w:hint="eastAsia" w:ascii="楷体" w:hAnsi="楷体" w:eastAsia="楷体"/>
          <w:color w:val="000000" w:themeColor="text1"/>
          <w:sz w:val="21"/>
          <w:szCs w:val="21"/>
        </w:rPr>
        <w:t>说明：应根据采购项目实际对以上内容进行修订、补充或删减。</w:t>
      </w:r>
    </w:p>
    <w:p>
      <w:pPr>
        <w:tabs>
          <w:tab w:val="left" w:pos="4510"/>
        </w:tabs>
        <w:spacing w:line="480" w:lineRule="auto"/>
        <w:ind w:firstLine="6240" w:firstLineChars="2600"/>
        <w:jc w:val="left"/>
        <w:rPr>
          <w:rFonts w:ascii="宋体"/>
          <w:color w:val="000000" w:themeColor="text1"/>
        </w:rPr>
      </w:pPr>
    </w:p>
    <w:p>
      <w:pPr>
        <w:widowControl/>
        <w:jc w:val="left"/>
        <w:rPr>
          <w:rFonts w:ascii="黑体" w:eastAsia="黑体"/>
          <w:color w:val="000000" w:themeColor="text1"/>
          <w:sz w:val="28"/>
          <w:szCs w:val="28"/>
          <w:u w:val="single"/>
        </w:rPr>
        <w:sectPr>
          <w:pgSz w:w="11906" w:h="16838"/>
          <w:pgMar w:top="1418" w:right="1418" w:bottom="1418" w:left="1418" w:header="737" w:footer="992" w:gutter="0"/>
          <w:cols w:space="425" w:num="1"/>
          <w:docGrid w:linePitch="326" w:charSpace="0"/>
        </w:sectPr>
      </w:pPr>
    </w:p>
    <w:p>
      <w:pPr>
        <w:keepNext/>
        <w:keepLines/>
        <w:pageBreakBefore/>
        <w:spacing w:afterLines="100"/>
        <w:outlineLvl w:val="1"/>
        <w:rPr>
          <w:rFonts w:ascii="Arial" w:hAnsi="Arial"/>
          <w:bCs/>
          <w:color w:val="000000" w:themeColor="text1"/>
          <w:kern w:val="0"/>
          <w:szCs w:val="32"/>
        </w:rPr>
      </w:pPr>
      <w:bookmarkStart w:id="181" w:name="_Toc526793305"/>
      <w:bookmarkStart w:id="182" w:name="_Toc20642712"/>
      <w:r>
        <w:rPr>
          <w:rFonts w:hint="eastAsia" w:ascii="宋体" w:hAnsi="宋体"/>
          <w:bCs/>
          <w:color w:val="000000" w:themeColor="text1"/>
          <w:kern w:val="0"/>
          <w:szCs w:val="32"/>
        </w:rPr>
        <w:t>附件5：采购补充文件</w:t>
      </w:r>
      <w:r>
        <w:rPr>
          <w:rFonts w:hint="eastAsia" w:ascii="华文楷体" w:hAnsi="华文楷体" w:eastAsia="华文楷体"/>
          <w:bCs/>
          <w:color w:val="000000" w:themeColor="text1"/>
          <w:kern w:val="0"/>
          <w:sz w:val="18"/>
          <w:szCs w:val="18"/>
        </w:rPr>
        <w:t>（适用于公开招标采购转为独家谈判的情形）</w:t>
      </w:r>
      <w:bookmarkEnd w:id="181"/>
      <w:bookmarkEnd w:id="182"/>
    </w:p>
    <w:p>
      <w:pPr>
        <w:spacing w:line="240" w:lineRule="auto"/>
        <w:jc w:val="center"/>
        <w:rPr>
          <w:rFonts w:ascii="宋体" w:hAnsi="宋体"/>
          <w:b/>
          <w:bCs/>
          <w:color w:val="000000" w:themeColor="text1"/>
          <w:sz w:val="30"/>
          <w:szCs w:val="30"/>
        </w:rPr>
      </w:pPr>
      <w:r>
        <w:rPr>
          <w:rFonts w:hint="eastAsia" w:ascii="宋体" w:hAnsi="宋体"/>
          <w:b/>
          <w:bCs/>
          <w:color w:val="000000" w:themeColor="text1"/>
          <w:sz w:val="30"/>
          <w:szCs w:val="30"/>
        </w:rPr>
        <w:t>(采购项目名称)（采购项目类别）（标段名称）</w:t>
      </w:r>
    </w:p>
    <w:p>
      <w:pPr>
        <w:spacing w:line="240" w:lineRule="auto"/>
        <w:jc w:val="center"/>
        <w:rPr>
          <w:rFonts w:ascii="宋体" w:hAnsi="宋体"/>
          <w:b/>
          <w:bCs/>
          <w:color w:val="000000" w:themeColor="text1"/>
          <w:sz w:val="30"/>
          <w:szCs w:val="30"/>
        </w:rPr>
      </w:pPr>
      <w:r>
        <w:rPr>
          <w:rFonts w:hint="eastAsia" w:ascii="宋体" w:hAnsi="宋体"/>
          <w:b/>
          <w:bCs/>
          <w:color w:val="000000" w:themeColor="text1"/>
          <w:sz w:val="30"/>
          <w:szCs w:val="30"/>
        </w:rPr>
        <w:t>公开招标采购补充文件（一/二</w:t>
      </w:r>
      <w:r>
        <w:rPr>
          <w:rFonts w:ascii="宋体" w:hAnsi="宋体"/>
          <w:b/>
          <w:bCs/>
          <w:color w:val="000000" w:themeColor="text1"/>
          <w:sz w:val="30"/>
          <w:szCs w:val="30"/>
        </w:rPr>
        <w:t>…</w:t>
      </w:r>
      <w:r>
        <w:rPr>
          <w:rFonts w:hint="eastAsia" w:ascii="宋体" w:hAnsi="宋体"/>
          <w:b/>
          <w:bCs/>
          <w:color w:val="000000" w:themeColor="text1"/>
          <w:sz w:val="30"/>
          <w:szCs w:val="30"/>
        </w:rPr>
        <w:t>）</w:t>
      </w:r>
    </w:p>
    <w:p>
      <w:pPr>
        <w:ind w:firstLine="480" w:firstLineChars="200"/>
        <w:jc w:val="left"/>
        <w:rPr>
          <w:rFonts w:ascii="宋体" w:hAnsi="宋体"/>
          <w:color w:val="000000" w:themeColor="text1"/>
        </w:rPr>
      </w:pPr>
    </w:p>
    <w:p>
      <w:pPr>
        <w:spacing w:line="440" w:lineRule="exact"/>
        <w:ind w:firstLine="480" w:firstLineChars="200"/>
        <w:jc w:val="left"/>
        <w:rPr>
          <w:rFonts w:ascii="宋体" w:hAnsi="宋体"/>
          <w:color w:val="000000" w:themeColor="text1"/>
        </w:rPr>
      </w:pPr>
      <w:r>
        <w:rPr>
          <w:rFonts w:hint="eastAsia" w:ascii="宋体" w:hAnsi="宋体"/>
          <w:color w:val="000000" w:themeColor="text1"/>
        </w:rPr>
        <w:t>一、对技术规格的补充、修改</w:t>
      </w:r>
    </w:p>
    <w:p>
      <w:pPr>
        <w:spacing w:line="440" w:lineRule="exact"/>
        <w:ind w:firstLine="480" w:firstLineChars="200"/>
        <w:jc w:val="left"/>
        <w:rPr>
          <w:rFonts w:ascii="宋体" w:hAnsi="宋体"/>
          <w:color w:val="000000" w:themeColor="text1"/>
        </w:rPr>
      </w:pPr>
      <w:r>
        <w:rPr>
          <w:rFonts w:hint="eastAsia" w:ascii="宋体" w:hAnsi="宋体"/>
          <w:color w:val="000000" w:themeColor="text1"/>
        </w:rPr>
        <w:t>二、对服务要求的补充、修改</w:t>
      </w:r>
    </w:p>
    <w:p>
      <w:pPr>
        <w:spacing w:line="440" w:lineRule="exact"/>
        <w:ind w:firstLine="480" w:firstLineChars="200"/>
        <w:jc w:val="left"/>
        <w:rPr>
          <w:rFonts w:ascii="宋体" w:hAnsi="宋体"/>
          <w:color w:val="000000" w:themeColor="text1"/>
        </w:rPr>
      </w:pPr>
      <w:r>
        <w:rPr>
          <w:rFonts w:hint="eastAsia" w:ascii="宋体" w:hAnsi="宋体"/>
          <w:color w:val="000000" w:themeColor="text1"/>
        </w:rPr>
        <w:t>三、对报价要求的补充、修改</w:t>
      </w:r>
    </w:p>
    <w:p>
      <w:pPr>
        <w:spacing w:line="440" w:lineRule="exact"/>
        <w:ind w:firstLine="480" w:firstLineChars="200"/>
        <w:jc w:val="left"/>
        <w:rPr>
          <w:rFonts w:ascii="宋体" w:hAnsi="宋体"/>
          <w:color w:val="000000" w:themeColor="text1"/>
        </w:rPr>
      </w:pPr>
      <w:r>
        <w:rPr>
          <w:rFonts w:hint="eastAsia" w:ascii="宋体" w:hAnsi="宋体"/>
          <w:color w:val="000000" w:themeColor="text1"/>
        </w:rPr>
        <w:t>四、对合同条款的补充、修改</w:t>
      </w:r>
    </w:p>
    <w:p>
      <w:pPr>
        <w:spacing w:line="440" w:lineRule="exact"/>
        <w:ind w:firstLine="480" w:firstLineChars="200"/>
        <w:rPr>
          <w:rFonts w:ascii="宋体" w:hAnsi="宋体"/>
          <w:color w:val="000000" w:themeColor="text1"/>
        </w:rPr>
      </w:pPr>
      <w:r>
        <w:rPr>
          <w:rFonts w:hint="eastAsia" w:ascii="宋体" w:hAnsi="宋体"/>
          <w:color w:val="000000" w:themeColor="text1"/>
        </w:rPr>
        <w:t>五、对响应文件格式和内容的补充、修改</w:t>
      </w:r>
    </w:p>
    <w:p>
      <w:pPr>
        <w:spacing w:line="440" w:lineRule="exact"/>
        <w:ind w:firstLine="480" w:firstLineChars="200"/>
        <w:rPr>
          <w:rFonts w:ascii="宋体" w:hAnsi="宋体"/>
          <w:color w:val="000000" w:themeColor="text1"/>
        </w:rPr>
      </w:pPr>
      <w:r>
        <w:rPr>
          <w:rFonts w:hint="eastAsia" w:ascii="宋体" w:hAnsi="宋体"/>
          <w:color w:val="000000" w:themeColor="text1"/>
        </w:rPr>
        <w:t>六、补充响应文件递交/终版响应文件递交</w:t>
      </w:r>
    </w:p>
    <w:p>
      <w:pPr>
        <w:spacing w:line="440" w:lineRule="exact"/>
        <w:ind w:firstLine="480" w:firstLineChars="200"/>
        <w:rPr>
          <w:rFonts w:ascii="宋体" w:hAnsi="宋体"/>
          <w:color w:val="000000" w:themeColor="text1"/>
        </w:rPr>
      </w:pPr>
      <w:r>
        <w:rPr>
          <w:rFonts w:hint="eastAsia" w:ascii="宋体" w:hAnsi="宋体"/>
          <w:color w:val="000000" w:themeColor="text1"/>
        </w:rPr>
        <w:t>1.文件递交：</w:t>
      </w:r>
    </w:p>
    <w:p>
      <w:pPr>
        <w:spacing w:line="440" w:lineRule="exact"/>
        <w:ind w:firstLine="480" w:firstLineChars="200"/>
        <w:rPr>
          <w:rFonts w:ascii="宋体" w:hAnsi="宋体"/>
          <w:color w:val="000000" w:themeColor="text1"/>
        </w:rPr>
      </w:pPr>
      <w:r>
        <w:rPr>
          <w:rFonts w:hint="eastAsia" w:ascii="宋体" w:hAnsi="宋体"/>
          <w:color w:val="000000" w:themeColor="text1"/>
        </w:rPr>
        <w:t>（1）递交份数：纸版文件x份、电子文件U盘x份。</w:t>
      </w:r>
    </w:p>
    <w:p>
      <w:pPr>
        <w:spacing w:line="440" w:lineRule="exact"/>
        <w:ind w:firstLine="480" w:firstLineChars="200"/>
        <w:rPr>
          <w:rFonts w:ascii="宋体" w:hAnsi="宋体"/>
          <w:color w:val="000000" w:themeColor="text1"/>
        </w:rPr>
      </w:pPr>
      <w:r>
        <w:rPr>
          <w:rFonts w:hint="eastAsia" w:ascii="宋体" w:hAnsi="宋体"/>
          <w:color w:val="000000" w:themeColor="text1"/>
        </w:rPr>
        <w:t>（2）递交截止时间：xxxx年xx月xx日xx时xx分至xx时xx分。</w:t>
      </w:r>
    </w:p>
    <w:p>
      <w:pPr>
        <w:spacing w:line="440" w:lineRule="exact"/>
        <w:ind w:firstLine="480" w:firstLineChars="200"/>
        <w:rPr>
          <w:rFonts w:ascii="宋体" w:hAnsi="宋体"/>
          <w:color w:val="000000" w:themeColor="text1"/>
        </w:rPr>
      </w:pPr>
      <w:r>
        <w:rPr>
          <w:rFonts w:hint="eastAsia" w:ascii="宋体" w:hAnsi="宋体"/>
          <w:color w:val="000000" w:themeColor="text1"/>
        </w:rPr>
        <w:t>（3）递交地址及场所：</w:t>
      </w:r>
    </w:p>
    <w:p>
      <w:pPr>
        <w:spacing w:line="440" w:lineRule="exact"/>
        <w:ind w:firstLine="480" w:firstLineChars="200"/>
        <w:rPr>
          <w:rFonts w:ascii="宋体" w:hAnsi="宋体"/>
          <w:color w:val="000000" w:themeColor="text1"/>
        </w:rPr>
      </w:pPr>
      <w:r>
        <w:rPr>
          <w:rFonts w:hint="eastAsia" w:ascii="宋体" w:hAnsi="宋体"/>
          <w:color w:val="000000" w:themeColor="text1"/>
        </w:rPr>
        <w:t>（4）递交方式：</w:t>
      </w:r>
    </w:p>
    <w:p>
      <w:pPr>
        <w:spacing w:line="440" w:lineRule="exact"/>
        <w:ind w:firstLine="480" w:firstLineChars="200"/>
        <w:rPr>
          <w:rFonts w:ascii="宋体" w:hAnsi="宋体"/>
          <w:color w:val="000000" w:themeColor="text1"/>
        </w:rPr>
      </w:pPr>
      <w:r>
        <w:rPr>
          <w:rFonts w:hint="eastAsia" w:ascii="宋体" w:hAnsi="宋体"/>
          <w:color w:val="000000" w:themeColor="text1"/>
        </w:rPr>
        <w:t>①专人场所递交：</w:t>
      </w:r>
    </w:p>
    <w:p>
      <w:pPr>
        <w:spacing w:line="440" w:lineRule="exact"/>
        <w:ind w:firstLine="480" w:firstLineChars="200"/>
        <w:rPr>
          <w:rFonts w:ascii="宋体" w:hAnsi="宋体"/>
          <w:color w:val="000000" w:themeColor="text1"/>
        </w:rPr>
      </w:pPr>
      <w:r>
        <w:rPr>
          <w:rFonts w:hint="eastAsia" w:ascii="宋体" w:hAnsi="宋体"/>
          <w:color w:val="000000" w:themeColor="text1"/>
        </w:rPr>
        <w:t>②邮寄送达：</w:t>
      </w:r>
    </w:p>
    <w:p>
      <w:pPr>
        <w:spacing w:line="440" w:lineRule="exact"/>
        <w:ind w:firstLine="480" w:firstLineChars="200"/>
        <w:rPr>
          <w:rFonts w:ascii="宋体" w:hAnsi="宋体"/>
          <w:color w:val="000000" w:themeColor="text1"/>
        </w:rPr>
      </w:pPr>
      <w:r>
        <w:rPr>
          <w:rFonts w:ascii="宋体" w:hAnsi="宋体"/>
          <w:color w:val="000000" w:themeColor="text1"/>
        </w:rPr>
        <w:t>……</w:t>
      </w:r>
    </w:p>
    <w:p>
      <w:pPr>
        <w:spacing w:line="440" w:lineRule="exact"/>
        <w:ind w:firstLine="480" w:firstLineChars="200"/>
        <w:rPr>
          <w:rFonts w:ascii="宋体" w:hAnsi="宋体"/>
          <w:color w:val="000000" w:themeColor="text1"/>
        </w:rPr>
      </w:pPr>
      <w:r>
        <w:rPr>
          <w:rFonts w:hint="eastAsia" w:ascii="宋体" w:hAnsi="宋体"/>
          <w:color w:val="000000" w:themeColor="text1"/>
        </w:rPr>
        <w:t>2.纸版文件的盖章、密封等见本采购文件相关规定。</w:t>
      </w:r>
    </w:p>
    <w:p>
      <w:pPr>
        <w:spacing w:line="440" w:lineRule="exact"/>
        <w:ind w:firstLine="480" w:firstLineChars="200"/>
        <w:rPr>
          <w:rFonts w:ascii="宋体" w:hAnsi="宋体"/>
          <w:color w:val="000000" w:themeColor="text1"/>
        </w:rPr>
      </w:pPr>
      <w:r>
        <w:rPr>
          <w:rFonts w:hint="eastAsia" w:ascii="宋体" w:hAnsi="宋体"/>
          <w:color w:val="000000" w:themeColor="text1"/>
        </w:rPr>
        <w:t>3.文件格式</w:t>
      </w:r>
      <w:r>
        <w:rPr>
          <w:rFonts w:ascii="宋体" w:hAnsi="宋体"/>
          <w:color w:val="000000" w:themeColor="text1"/>
        </w:rPr>
        <w:t>等见第七章“</w:t>
      </w:r>
      <w:r>
        <w:rPr>
          <w:rFonts w:hint="eastAsia" w:ascii="宋体" w:hAnsi="宋体"/>
          <w:color w:val="000000" w:themeColor="text1"/>
        </w:rPr>
        <w:t>响应</w:t>
      </w:r>
      <w:r>
        <w:rPr>
          <w:rFonts w:ascii="宋体" w:hAnsi="宋体"/>
          <w:color w:val="000000" w:themeColor="text1"/>
        </w:rPr>
        <w:t>文件</w:t>
      </w:r>
      <w:r>
        <w:rPr>
          <w:rFonts w:hint="eastAsia" w:ascii="宋体" w:hAnsi="宋体"/>
          <w:color w:val="000000" w:themeColor="text1"/>
        </w:rPr>
        <w:t>格式</w:t>
      </w:r>
      <w:r>
        <w:rPr>
          <w:rFonts w:ascii="宋体" w:hAnsi="宋体"/>
          <w:color w:val="000000" w:themeColor="text1"/>
        </w:rPr>
        <w:t>”</w:t>
      </w:r>
      <w:r>
        <w:rPr>
          <w:rFonts w:hint="eastAsia" w:ascii="宋体" w:hAnsi="宋体"/>
          <w:color w:val="000000" w:themeColor="text1"/>
        </w:rPr>
        <w:t>相关</w:t>
      </w:r>
      <w:r>
        <w:rPr>
          <w:rFonts w:ascii="宋体" w:hAnsi="宋体"/>
          <w:color w:val="000000" w:themeColor="text1"/>
        </w:rPr>
        <w:t>内容。</w:t>
      </w:r>
    </w:p>
    <w:p>
      <w:pPr>
        <w:spacing w:line="440" w:lineRule="exact"/>
        <w:ind w:firstLine="480" w:firstLineChars="200"/>
        <w:rPr>
          <w:rFonts w:ascii="宋体" w:hAnsi="宋体"/>
          <w:color w:val="000000" w:themeColor="text1"/>
        </w:rPr>
      </w:pPr>
      <w:r>
        <w:rPr>
          <w:rFonts w:hint="eastAsia" w:ascii="宋体" w:hAnsi="宋体"/>
          <w:color w:val="000000" w:themeColor="text1"/>
        </w:rPr>
        <w:t>七、再次递交的补充响应文件为终版响应文件。</w:t>
      </w:r>
      <w:r>
        <w:rPr>
          <w:rFonts w:hint="eastAsia" w:ascii="华文楷体" w:hAnsi="华文楷体" w:eastAsia="华文楷体"/>
          <w:color w:val="000000" w:themeColor="text1"/>
          <w:sz w:val="21"/>
          <w:szCs w:val="21"/>
        </w:rPr>
        <w:t>或：</w:t>
      </w:r>
    </w:p>
    <w:p>
      <w:pPr>
        <w:spacing w:line="440" w:lineRule="exact"/>
        <w:ind w:firstLine="480" w:firstLineChars="200"/>
        <w:rPr>
          <w:rFonts w:ascii="宋体" w:hAnsi="宋体"/>
          <w:color w:val="000000" w:themeColor="text1"/>
        </w:rPr>
      </w:pPr>
      <w:r>
        <w:rPr>
          <w:rFonts w:hint="eastAsia" w:ascii="宋体" w:hAnsi="宋体"/>
          <w:color w:val="000000" w:themeColor="text1"/>
        </w:rPr>
        <w:t>七、再次递交的补充响应文件为双方第x次谈判的基础资料。请（承包商名称）按照本采购文件相关要求派专人、持相关证件参加谈判。谈判时间、地址及场所如下：</w:t>
      </w:r>
    </w:p>
    <w:p>
      <w:pPr>
        <w:spacing w:line="440" w:lineRule="exact"/>
        <w:ind w:firstLine="480" w:firstLineChars="200"/>
        <w:rPr>
          <w:rFonts w:ascii="宋体" w:hAnsi="宋体"/>
          <w:color w:val="000000" w:themeColor="text1"/>
        </w:rPr>
      </w:pPr>
      <w:r>
        <w:rPr>
          <w:rFonts w:hint="eastAsia" w:ascii="宋体" w:hAnsi="宋体"/>
          <w:color w:val="000000" w:themeColor="text1"/>
        </w:rPr>
        <w:t>（1）谈判时间：xxxx年xx月xx日xx时xx分开始，计划xx日xx时xx分结束。</w:t>
      </w:r>
    </w:p>
    <w:p>
      <w:pPr>
        <w:spacing w:line="440" w:lineRule="exact"/>
        <w:ind w:firstLine="480" w:firstLineChars="200"/>
        <w:rPr>
          <w:rFonts w:ascii="宋体" w:hAnsi="宋体"/>
          <w:color w:val="000000" w:themeColor="text1"/>
        </w:rPr>
      </w:pPr>
      <w:r>
        <w:rPr>
          <w:rFonts w:hint="eastAsia" w:ascii="宋体" w:hAnsi="宋体"/>
          <w:color w:val="000000" w:themeColor="text1"/>
        </w:rPr>
        <w:t>（2）谈判地址及场所：</w:t>
      </w:r>
    </w:p>
    <w:p>
      <w:pPr>
        <w:spacing w:line="440" w:lineRule="exact"/>
        <w:ind w:firstLine="480" w:firstLineChars="200"/>
        <w:rPr>
          <w:rFonts w:ascii="宋体" w:hAnsi="宋体"/>
          <w:color w:val="000000" w:themeColor="text1"/>
        </w:rPr>
      </w:pPr>
      <w:r>
        <w:rPr>
          <w:rFonts w:hint="eastAsia" w:ascii="宋体" w:hAnsi="宋体"/>
          <w:color w:val="000000" w:themeColor="text1"/>
        </w:rPr>
        <w:t>八、其他</w:t>
      </w:r>
    </w:p>
    <w:p>
      <w:pPr>
        <w:jc w:val="right"/>
        <w:rPr>
          <w:color w:val="000000" w:themeColor="text1"/>
        </w:rPr>
      </w:pPr>
      <w:r>
        <w:rPr>
          <w:rFonts w:hint="eastAsia"/>
          <w:color w:val="000000" w:themeColor="text1"/>
        </w:rPr>
        <w:t>采购人/招标代理机构：（盖CA章/盖单位章）</w:t>
      </w:r>
    </w:p>
    <w:p>
      <w:pPr>
        <w:spacing w:line="440" w:lineRule="exact"/>
        <w:jc w:val="right"/>
        <w:rPr>
          <w:color w:val="000000" w:themeColor="text1"/>
        </w:rPr>
      </w:pPr>
      <w:r>
        <w:rPr>
          <w:rFonts w:hint="eastAsia"/>
          <w:color w:val="000000" w:themeColor="text1"/>
        </w:rPr>
        <w:t>xxxx年xx月xx日</w:t>
      </w:r>
    </w:p>
    <w:p>
      <w:pPr>
        <w:spacing w:line="240" w:lineRule="auto"/>
        <w:jc w:val="left"/>
        <w:rPr>
          <w:rFonts w:ascii="楷体" w:hAnsi="楷体" w:eastAsia="楷体"/>
          <w:color w:val="000000" w:themeColor="text1"/>
          <w:sz w:val="21"/>
          <w:szCs w:val="21"/>
        </w:rPr>
      </w:pPr>
    </w:p>
    <w:p>
      <w:pPr>
        <w:spacing w:line="240" w:lineRule="auto"/>
        <w:jc w:val="left"/>
        <w:rPr>
          <w:rFonts w:ascii="宋体" w:hAnsi="宋体"/>
          <w:b/>
          <w:color w:val="000000" w:themeColor="text1"/>
        </w:rPr>
      </w:pPr>
      <w:r>
        <w:rPr>
          <w:rFonts w:hint="eastAsia" w:ascii="楷体" w:hAnsi="楷体" w:eastAsia="楷体"/>
          <w:color w:val="000000" w:themeColor="text1"/>
          <w:sz w:val="21"/>
          <w:szCs w:val="21"/>
        </w:rPr>
        <w:t>说明：①应根据采购项目实际对以上内容进行修订、补充或删减②若经过双方谈判达成一致意见且不需要进行下一轮的谈判的，评审小组依据经承包商确认的谈判记录相关内容进行最终的评判。</w:t>
      </w:r>
      <w:r>
        <w:rPr>
          <w:rFonts w:ascii="宋体" w:hAnsi="宋体"/>
          <w:color w:val="000000" w:themeColor="text1"/>
        </w:rPr>
        <w:br w:type="page"/>
      </w:r>
      <w:bookmarkStart w:id="183" w:name="_Toc475792109"/>
      <w:bookmarkStart w:id="184" w:name="_Toc526793368"/>
      <w:r>
        <w:rPr>
          <w:rFonts w:hint="eastAsia" w:ascii="宋体" w:hAnsi="宋体"/>
          <w:bCs/>
          <w:color w:val="000000" w:themeColor="text1"/>
          <w:kern w:val="0"/>
          <w:szCs w:val="32"/>
        </w:rPr>
        <w:t>附件6：评审报告</w:t>
      </w:r>
      <w:bookmarkEnd w:id="183"/>
      <w:bookmarkEnd w:id="184"/>
    </w:p>
    <w:p>
      <w:pPr>
        <w:spacing w:afterLines="50" w:line="240" w:lineRule="auto"/>
        <w:jc w:val="center"/>
        <w:rPr>
          <w:rFonts w:ascii="宋体" w:hAnsi="宋体"/>
          <w:color w:val="000000" w:themeColor="text1"/>
        </w:rPr>
      </w:pPr>
      <w:r>
        <w:rPr>
          <w:rFonts w:hint="eastAsia"/>
          <w:b/>
          <w:bCs/>
          <w:color w:val="000000" w:themeColor="text1"/>
          <w:sz w:val="30"/>
          <w:szCs w:val="30"/>
        </w:rPr>
        <w:t>评审报告</w:t>
      </w:r>
    </w:p>
    <w:tbl>
      <w:tblPr>
        <w:tblStyle w:val="60"/>
        <w:tblW w:w="8740" w:type="dxa"/>
        <w:jc w:val="center"/>
        <w:tblLayout w:type="autofit"/>
        <w:tblCellMar>
          <w:top w:w="0" w:type="dxa"/>
          <w:left w:w="108" w:type="dxa"/>
          <w:bottom w:w="0" w:type="dxa"/>
          <w:right w:w="108" w:type="dxa"/>
        </w:tblCellMar>
      </w:tblPr>
      <w:tblGrid>
        <w:gridCol w:w="2954"/>
        <w:gridCol w:w="850"/>
        <w:gridCol w:w="3686"/>
        <w:gridCol w:w="1250"/>
      </w:tblGrid>
      <w:tr>
        <w:tblPrEx>
          <w:tblCellMar>
            <w:top w:w="0" w:type="dxa"/>
            <w:left w:w="108" w:type="dxa"/>
            <w:bottom w:w="0" w:type="dxa"/>
            <w:right w:w="108" w:type="dxa"/>
          </w:tblCellMar>
        </w:tblPrEx>
        <w:trPr>
          <w:trHeight w:val="482" w:hRule="atLeast"/>
          <w:jc w:val="center"/>
        </w:trPr>
        <w:tc>
          <w:tcPr>
            <w:tcW w:w="29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采购项目名称</w:t>
            </w:r>
          </w:p>
          <w:p>
            <w:pPr>
              <w:widowControl/>
              <w:spacing w:line="240" w:lineRule="auto"/>
              <w:jc w:val="left"/>
              <w:rPr>
                <w:rFonts w:ascii="宋体" w:hAnsi="宋体" w:cs="宋体"/>
                <w:color w:val="000000" w:themeColor="text1"/>
                <w:kern w:val="0"/>
                <w:sz w:val="21"/>
                <w:szCs w:val="21"/>
              </w:rPr>
            </w:pPr>
          </w:p>
        </w:tc>
        <w:tc>
          <w:tcPr>
            <w:tcW w:w="5786" w:type="dxa"/>
            <w:gridSpan w:val="3"/>
            <w:tcBorders>
              <w:top w:val="single" w:color="auto" w:sz="4" w:space="0"/>
              <w:left w:val="nil"/>
              <w:bottom w:val="single" w:color="auto" w:sz="4" w:space="0"/>
              <w:right w:val="single" w:color="auto" w:sz="4" w:space="0"/>
            </w:tcBorders>
            <w:shd w:val="clear" w:color="auto" w:fill="auto"/>
            <w:noWrap/>
            <w:vAlign w:val="center"/>
          </w:tcPr>
          <w:p>
            <w:pPr>
              <w:snapToGrid w:val="0"/>
              <w:spacing w:line="240" w:lineRule="auto"/>
              <w:rPr>
                <w:rFonts w:ascii="宋体" w:hAnsi="宋体"/>
                <w:color w:val="000000" w:themeColor="text1"/>
              </w:rPr>
            </w:pPr>
            <w:r>
              <w:rPr>
                <w:rFonts w:hint="eastAsia" w:ascii="宋体" w:hAnsi="宋体"/>
                <w:color w:val="000000" w:themeColor="text1"/>
              </w:rPr>
              <w:t>化机公司2022-2023年度土建、安装零星检维修项目</w:t>
            </w:r>
          </w:p>
        </w:tc>
      </w:tr>
      <w:tr>
        <w:tblPrEx>
          <w:tblCellMar>
            <w:top w:w="0" w:type="dxa"/>
            <w:left w:w="108" w:type="dxa"/>
            <w:bottom w:w="0" w:type="dxa"/>
            <w:right w:w="108" w:type="dxa"/>
          </w:tblCellMar>
        </w:tblPrEx>
        <w:trPr>
          <w:trHeight w:val="482" w:hRule="atLeast"/>
          <w:jc w:val="center"/>
        </w:trPr>
        <w:tc>
          <w:tcPr>
            <w:tcW w:w="29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采购项目编号</w:t>
            </w:r>
          </w:p>
        </w:tc>
        <w:tc>
          <w:tcPr>
            <w:tcW w:w="578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w:t>
            </w:r>
          </w:p>
        </w:tc>
      </w:tr>
      <w:tr>
        <w:tblPrEx>
          <w:tblCellMar>
            <w:top w:w="0" w:type="dxa"/>
            <w:left w:w="108" w:type="dxa"/>
            <w:bottom w:w="0" w:type="dxa"/>
            <w:right w:w="108" w:type="dxa"/>
          </w:tblCellMar>
        </w:tblPrEx>
        <w:trPr>
          <w:trHeight w:val="482" w:hRule="atLeast"/>
          <w:jc w:val="center"/>
        </w:trPr>
        <w:tc>
          <w:tcPr>
            <w:tcW w:w="29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采购人</w:t>
            </w:r>
          </w:p>
        </w:tc>
        <w:tc>
          <w:tcPr>
            <w:tcW w:w="5786"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中石化南京化工机械有限公司</w:t>
            </w:r>
          </w:p>
        </w:tc>
      </w:tr>
      <w:tr>
        <w:tblPrEx>
          <w:tblCellMar>
            <w:top w:w="0" w:type="dxa"/>
            <w:left w:w="108" w:type="dxa"/>
            <w:bottom w:w="0" w:type="dxa"/>
            <w:right w:w="108" w:type="dxa"/>
          </w:tblCellMar>
        </w:tblPrEx>
        <w:trPr>
          <w:trHeight w:val="482" w:hRule="atLeast"/>
          <w:jc w:val="center"/>
        </w:trPr>
        <w:tc>
          <w:tcPr>
            <w:tcW w:w="295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招标代理机构</w:t>
            </w:r>
          </w:p>
        </w:tc>
        <w:tc>
          <w:tcPr>
            <w:tcW w:w="5786"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711" w:hRule="atLeast"/>
          <w:jc w:val="center"/>
        </w:trPr>
        <w:tc>
          <w:tcPr>
            <w:tcW w:w="295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初步评审时间</w:t>
            </w:r>
          </w:p>
        </w:tc>
        <w:tc>
          <w:tcPr>
            <w:tcW w:w="5786"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开始时间：  年  月 日  时   分</w:t>
            </w:r>
          </w:p>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结束时间：  年  月 日  时  分</w:t>
            </w:r>
          </w:p>
        </w:tc>
      </w:tr>
      <w:tr>
        <w:tblPrEx>
          <w:tblCellMar>
            <w:top w:w="0" w:type="dxa"/>
            <w:left w:w="108" w:type="dxa"/>
            <w:bottom w:w="0" w:type="dxa"/>
            <w:right w:w="108" w:type="dxa"/>
          </w:tblCellMar>
        </w:tblPrEx>
        <w:trPr>
          <w:trHeight w:val="706" w:hRule="atLeast"/>
          <w:jc w:val="center"/>
        </w:trPr>
        <w:tc>
          <w:tcPr>
            <w:tcW w:w="295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初步评审地址及场所</w:t>
            </w:r>
          </w:p>
        </w:tc>
        <w:tc>
          <w:tcPr>
            <w:tcW w:w="5786"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地址：南京市江北新区大厂街道姜桥路</w:t>
            </w:r>
          </w:p>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场所：南化公司化机公司生产机动部</w:t>
            </w:r>
          </w:p>
        </w:tc>
      </w:tr>
      <w:tr>
        <w:tblPrEx>
          <w:tblCellMar>
            <w:top w:w="0" w:type="dxa"/>
            <w:left w:w="108" w:type="dxa"/>
            <w:bottom w:w="0" w:type="dxa"/>
            <w:right w:w="108" w:type="dxa"/>
          </w:tblCellMar>
        </w:tblPrEx>
        <w:trPr>
          <w:trHeight w:val="482" w:hRule="atLeast"/>
          <w:jc w:val="center"/>
        </w:trPr>
        <w:tc>
          <w:tcPr>
            <w:tcW w:w="295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初步评审情况</w:t>
            </w:r>
          </w:p>
        </w:tc>
        <w:tc>
          <w:tcPr>
            <w:tcW w:w="5786"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000000" w:themeColor="text1"/>
                <w:kern w:val="0"/>
                <w:sz w:val="21"/>
                <w:szCs w:val="21"/>
              </w:rPr>
            </w:pPr>
            <w:r>
              <w:rPr>
                <w:rFonts w:hint="eastAsia" w:ascii="宋体" w:hAnsi="宋体" w:cs="宋体"/>
                <w:color w:val="000000" w:themeColor="text1"/>
                <w:kern w:val="0"/>
                <w:sz w:val="21"/>
                <w:szCs w:val="21"/>
              </w:rPr>
              <w:t>详见“初步评审标准及记录表”</w:t>
            </w:r>
          </w:p>
        </w:tc>
      </w:tr>
      <w:tr>
        <w:tblPrEx>
          <w:tblCellMar>
            <w:top w:w="0" w:type="dxa"/>
            <w:left w:w="108" w:type="dxa"/>
            <w:bottom w:w="0" w:type="dxa"/>
            <w:right w:w="108" w:type="dxa"/>
          </w:tblCellMar>
        </w:tblPrEx>
        <w:trPr>
          <w:trHeight w:val="482" w:hRule="atLeast"/>
          <w:jc w:val="center"/>
        </w:trPr>
        <w:tc>
          <w:tcPr>
            <w:tcW w:w="295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olor w:val="000000" w:themeColor="text1"/>
                <w:sz w:val="21"/>
                <w:szCs w:val="21"/>
              </w:rPr>
              <w:t>承包商排序</w:t>
            </w:r>
            <w:r>
              <w:rPr>
                <w:rFonts w:hint="eastAsia" w:ascii="宋体" w:hAnsi="宋体" w:cs="宋体"/>
                <w:color w:val="000000" w:themeColor="text1"/>
                <w:kern w:val="0"/>
                <w:sz w:val="21"/>
                <w:szCs w:val="21"/>
              </w:rPr>
              <w:t>情况</w:t>
            </w:r>
          </w:p>
        </w:tc>
        <w:tc>
          <w:tcPr>
            <w:tcW w:w="5786"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olor w:val="000000" w:themeColor="text1"/>
                <w:sz w:val="21"/>
                <w:szCs w:val="21"/>
              </w:rPr>
              <w:t>详见 “承包商排序表”等</w:t>
            </w:r>
          </w:p>
        </w:tc>
      </w:tr>
      <w:tr>
        <w:tblPrEx>
          <w:tblCellMar>
            <w:top w:w="0" w:type="dxa"/>
            <w:left w:w="108" w:type="dxa"/>
            <w:bottom w:w="0" w:type="dxa"/>
            <w:right w:w="108" w:type="dxa"/>
          </w:tblCellMar>
        </w:tblPrEx>
        <w:trPr>
          <w:trHeight w:val="482" w:hRule="atLeast"/>
          <w:jc w:val="center"/>
        </w:trPr>
        <w:tc>
          <w:tcPr>
            <w:tcW w:w="2954" w:type="dxa"/>
            <w:vMerge w:val="restart"/>
            <w:tcBorders>
              <w:top w:val="nil"/>
              <w:left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成交候选人推荐</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名  次</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成交候选人名称</w:t>
            </w:r>
          </w:p>
        </w:tc>
        <w:tc>
          <w:tcPr>
            <w:tcW w:w="125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themeColor="text1"/>
                <w:kern w:val="0"/>
                <w:sz w:val="21"/>
                <w:szCs w:val="21"/>
                <w:u w:val="single"/>
              </w:rPr>
            </w:pPr>
            <w:r>
              <w:rPr>
                <w:rFonts w:hint="eastAsia" w:ascii="宋体" w:hAnsi="宋体" w:cs="宋体"/>
                <w:color w:val="000000" w:themeColor="text1"/>
                <w:kern w:val="0"/>
                <w:sz w:val="21"/>
                <w:szCs w:val="21"/>
              </w:rPr>
              <w:t>优惠率（  %）</w:t>
            </w:r>
          </w:p>
        </w:tc>
      </w:tr>
      <w:tr>
        <w:tblPrEx>
          <w:tblCellMar>
            <w:top w:w="0" w:type="dxa"/>
            <w:left w:w="108" w:type="dxa"/>
            <w:bottom w:w="0" w:type="dxa"/>
            <w:right w:w="108" w:type="dxa"/>
          </w:tblCellMar>
        </w:tblPrEx>
        <w:trPr>
          <w:trHeight w:val="482" w:hRule="atLeast"/>
          <w:jc w:val="center"/>
        </w:trPr>
        <w:tc>
          <w:tcPr>
            <w:tcW w:w="2954" w:type="dxa"/>
            <w:vMerge w:val="continue"/>
            <w:tcBorders>
              <w:left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第一名</w:t>
            </w:r>
          </w:p>
        </w:tc>
        <w:tc>
          <w:tcPr>
            <w:tcW w:w="368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kern w:val="0"/>
              </w:rPr>
            </w:pPr>
          </w:p>
        </w:tc>
        <w:tc>
          <w:tcPr>
            <w:tcW w:w="125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482" w:hRule="atLeast"/>
          <w:jc w:val="center"/>
        </w:trPr>
        <w:tc>
          <w:tcPr>
            <w:tcW w:w="2954" w:type="dxa"/>
            <w:vMerge w:val="continue"/>
            <w:tcBorders>
              <w:left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第二名</w:t>
            </w:r>
          </w:p>
        </w:tc>
        <w:tc>
          <w:tcPr>
            <w:tcW w:w="368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kern w:val="0"/>
              </w:rPr>
            </w:pPr>
          </w:p>
        </w:tc>
        <w:tc>
          <w:tcPr>
            <w:tcW w:w="125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482" w:hRule="atLeast"/>
          <w:jc w:val="center"/>
        </w:trPr>
        <w:tc>
          <w:tcPr>
            <w:tcW w:w="2954" w:type="dxa"/>
            <w:vMerge w:val="continue"/>
            <w:tcBorders>
              <w:left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第三名</w:t>
            </w:r>
          </w:p>
        </w:tc>
        <w:tc>
          <w:tcPr>
            <w:tcW w:w="368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kern w:val="0"/>
              </w:rPr>
            </w:pPr>
          </w:p>
        </w:tc>
        <w:tc>
          <w:tcPr>
            <w:tcW w:w="12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482" w:hRule="atLeast"/>
          <w:jc w:val="center"/>
        </w:trPr>
        <w:tc>
          <w:tcPr>
            <w:tcW w:w="2954" w:type="dxa"/>
            <w:tcBorders>
              <w:left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第四名</w:t>
            </w:r>
          </w:p>
        </w:tc>
        <w:tc>
          <w:tcPr>
            <w:tcW w:w="368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kern w:val="0"/>
              </w:rPr>
            </w:pPr>
          </w:p>
        </w:tc>
        <w:tc>
          <w:tcPr>
            <w:tcW w:w="12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2131" w:hRule="atLeast"/>
          <w:jc w:val="center"/>
        </w:trPr>
        <w:tc>
          <w:tcPr>
            <w:tcW w:w="29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需要说明的事项</w:t>
            </w:r>
          </w:p>
        </w:tc>
        <w:tc>
          <w:tcPr>
            <w:tcW w:w="5786" w:type="dxa"/>
            <w:gridSpan w:val="3"/>
            <w:tcBorders>
              <w:top w:val="nil"/>
              <w:left w:val="nil"/>
              <w:bottom w:val="nil"/>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p>
        </w:tc>
      </w:tr>
      <w:tr>
        <w:tblPrEx>
          <w:tblCellMar>
            <w:top w:w="0" w:type="dxa"/>
            <w:left w:w="108" w:type="dxa"/>
            <w:bottom w:w="0" w:type="dxa"/>
            <w:right w:w="108" w:type="dxa"/>
          </w:tblCellMar>
        </w:tblPrEx>
        <w:trPr>
          <w:trHeight w:val="482" w:hRule="atLeast"/>
          <w:jc w:val="center"/>
        </w:trPr>
        <w:tc>
          <w:tcPr>
            <w:tcW w:w="295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评审小组全体成员签字</w:t>
            </w:r>
          </w:p>
        </w:tc>
        <w:tc>
          <w:tcPr>
            <w:tcW w:w="5786" w:type="dxa"/>
            <w:gridSpan w:val="3"/>
            <w:tcBorders>
              <w:top w:val="single" w:color="auto" w:sz="4" w:space="0"/>
              <w:left w:val="nil"/>
              <w:bottom w:val="nil"/>
              <w:right w:val="single" w:color="auto" w:sz="4" w:space="0"/>
            </w:tcBorders>
            <w:shd w:val="clear" w:color="auto" w:fill="auto"/>
            <w:noWrap/>
            <w:vAlign w:val="center"/>
          </w:tcPr>
          <w:p>
            <w:pPr>
              <w:widowControl/>
              <w:spacing w:line="240" w:lineRule="auto"/>
              <w:jc w:val="left"/>
              <w:rPr>
                <w:rFonts w:ascii="宋体" w:hAnsi="宋体" w:cs="宋体"/>
                <w:color w:val="000000" w:themeColor="text1"/>
                <w:kern w:val="0"/>
                <w:sz w:val="21"/>
                <w:szCs w:val="21"/>
              </w:rPr>
            </w:pPr>
            <w:r>
              <w:rPr>
                <w:rFonts w:hint="eastAsia" w:ascii="宋体" w:hAnsi="宋体" w:cs="宋体"/>
                <w:color w:val="000000" w:themeColor="text1"/>
                <w:kern w:val="0"/>
                <w:sz w:val="21"/>
                <w:szCs w:val="21"/>
              </w:rPr>
              <w:t>　</w:t>
            </w:r>
          </w:p>
        </w:tc>
      </w:tr>
      <w:tr>
        <w:tblPrEx>
          <w:tblCellMar>
            <w:top w:w="0" w:type="dxa"/>
            <w:left w:w="108" w:type="dxa"/>
            <w:bottom w:w="0" w:type="dxa"/>
            <w:right w:w="108" w:type="dxa"/>
          </w:tblCellMar>
        </w:tblPrEx>
        <w:trPr>
          <w:trHeight w:val="964" w:hRule="atLeast"/>
          <w:jc w:val="center"/>
        </w:trPr>
        <w:tc>
          <w:tcPr>
            <w:tcW w:w="295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themeColor="text1"/>
                <w:kern w:val="0"/>
                <w:sz w:val="21"/>
                <w:szCs w:val="21"/>
              </w:rPr>
            </w:pPr>
          </w:p>
        </w:tc>
        <w:tc>
          <w:tcPr>
            <w:tcW w:w="57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trike/>
                <w:color w:val="000000" w:themeColor="text1"/>
                <w:kern w:val="0"/>
                <w:sz w:val="21"/>
                <w:szCs w:val="21"/>
              </w:rPr>
            </w:pPr>
          </w:p>
        </w:tc>
      </w:tr>
    </w:tbl>
    <w:p>
      <w:pPr>
        <w:snapToGrid w:val="0"/>
        <w:rPr>
          <w:color w:val="000000" w:themeColor="text1"/>
          <w:sz w:val="36"/>
          <w:szCs w:val="36"/>
        </w:rPr>
        <w:sectPr>
          <w:footerReference r:id="rId10" w:type="default"/>
          <w:pgSz w:w="11906" w:h="16838"/>
          <w:pgMar w:top="1418" w:right="1418" w:bottom="1418" w:left="1418" w:header="851" w:footer="992" w:gutter="0"/>
          <w:cols w:space="720" w:num="1"/>
        </w:sectPr>
      </w:pPr>
    </w:p>
    <w:p>
      <w:pPr>
        <w:snapToGrid w:val="0"/>
        <w:jc w:val="left"/>
        <w:outlineLvl w:val="0"/>
        <w:rPr>
          <w:b/>
          <w:bCs/>
          <w:color w:val="000000" w:themeColor="text1"/>
          <w:sz w:val="44"/>
          <w:szCs w:val="44"/>
        </w:rPr>
      </w:pPr>
      <w:bookmarkStart w:id="185" w:name="_Toc324338067"/>
      <w:bookmarkStart w:id="186" w:name="OLE_LINK75"/>
      <w:bookmarkStart w:id="187" w:name="_Toc402858988"/>
      <w:bookmarkStart w:id="188" w:name="_Toc152042387"/>
      <w:bookmarkStart w:id="189" w:name="_Toc297884604"/>
      <w:bookmarkStart w:id="190" w:name="_Toc152045609"/>
      <w:bookmarkStart w:id="191" w:name="_Toc386206214"/>
      <w:bookmarkStart w:id="192" w:name="_Toc20642713"/>
      <w:bookmarkStart w:id="193" w:name="_Toc144974577"/>
      <w:bookmarkStart w:id="194" w:name="OLE_LINK76"/>
      <w:bookmarkStart w:id="195" w:name="_Toc179632627"/>
      <w:r>
        <w:rPr>
          <w:rFonts w:hint="eastAsia"/>
          <w:b/>
          <w:bCs/>
          <w:color w:val="000000" w:themeColor="text1"/>
          <w:sz w:val="44"/>
          <w:szCs w:val="44"/>
        </w:rPr>
        <w:t>第五章 合同条款</w:t>
      </w:r>
      <w:bookmarkEnd w:id="185"/>
      <w:bookmarkEnd w:id="186"/>
      <w:bookmarkEnd w:id="187"/>
      <w:bookmarkEnd w:id="188"/>
      <w:bookmarkEnd w:id="189"/>
      <w:bookmarkEnd w:id="190"/>
      <w:bookmarkEnd w:id="191"/>
      <w:bookmarkEnd w:id="192"/>
      <w:bookmarkEnd w:id="193"/>
      <w:bookmarkEnd w:id="194"/>
      <w:bookmarkEnd w:id="195"/>
    </w:p>
    <w:bookmarkEnd w:id="9"/>
    <w:bookmarkEnd w:id="141"/>
    <w:p>
      <w:pPr>
        <w:snapToGrid w:val="0"/>
        <w:spacing w:line="240" w:lineRule="auto"/>
        <w:jc w:val="center"/>
        <w:rPr>
          <w:rFonts w:ascii="宋体" w:hAnsi="宋体"/>
          <w:color w:val="000000" w:themeColor="text1"/>
          <w:sz w:val="32"/>
          <w:szCs w:val="32"/>
          <w:u w:val="single"/>
        </w:rPr>
      </w:pPr>
      <w:bookmarkStart w:id="196" w:name="_Toc315937463"/>
      <w:bookmarkStart w:id="197" w:name="_Toc386206215"/>
      <w:bookmarkStart w:id="198" w:name="_Toc402858989"/>
      <w:bookmarkStart w:id="199" w:name="_Toc20642714"/>
      <w:bookmarkStart w:id="200" w:name="_Toc65656155"/>
      <w:bookmarkStart w:id="201" w:name="_Toc65908708"/>
      <w:bookmarkStart w:id="202" w:name="_Toc65648955"/>
      <w:bookmarkStart w:id="203" w:name="_Toc67831034"/>
      <w:bookmarkStart w:id="204" w:name="_Toc297884605"/>
      <w:bookmarkStart w:id="205" w:name="_Toc67831730"/>
      <w:bookmarkStart w:id="206" w:name="_Toc296088418"/>
      <w:bookmarkStart w:id="207" w:name="OLE_LINK169"/>
      <w:bookmarkStart w:id="208" w:name="_Toc67968938"/>
      <w:r>
        <w:rPr>
          <w:rFonts w:hint="eastAsia" w:ascii="宋体" w:hAnsi="宋体"/>
          <w:color w:val="000000" w:themeColor="text1"/>
          <w:sz w:val="32"/>
          <w:szCs w:val="32"/>
          <w:u w:val="single"/>
        </w:rPr>
        <w:t>化机公司2022-2023年度土建、安装零星检维修项目</w:t>
      </w:r>
    </w:p>
    <w:p>
      <w:pPr>
        <w:pStyle w:val="476"/>
        <w:spacing w:before="22" w:after="22"/>
        <w:ind w:left="120" w:right="120"/>
        <w:rPr>
          <w:color w:val="000000" w:themeColor="text1"/>
          <w:lang w:eastAsia="zh-CN"/>
        </w:rPr>
      </w:pPr>
      <w:r>
        <w:rPr>
          <w:color w:val="000000" w:themeColor="text1"/>
          <w:lang w:eastAsia="zh-CN"/>
        </w:rPr>
        <w:t> </w:t>
      </w:r>
    </w:p>
    <w:tbl>
      <w:tblPr>
        <w:tblStyle w:val="481"/>
        <w:tblW w:w="4700" w:type="pct"/>
        <w:tblInd w:w="286" w:type="dxa"/>
        <w:tblLayout w:type="autofit"/>
        <w:tblCellMar>
          <w:top w:w="15" w:type="dxa"/>
          <w:left w:w="15" w:type="dxa"/>
          <w:bottom w:w="15" w:type="dxa"/>
          <w:right w:w="15" w:type="dxa"/>
        </w:tblCellMar>
      </w:tblPr>
      <w:tblGrid>
        <w:gridCol w:w="4411"/>
        <w:gridCol w:w="4412"/>
      </w:tblGrid>
      <w:tr>
        <w:tblPrEx>
          <w:tblCellMar>
            <w:top w:w="15" w:type="dxa"/>
            <w:left w:w="15" w:type="dxa"/>
            <w:bottom w:w="15" w:type="dxa"/>
            <w:right w:w="15" w:type="dxa"/>
          </w:tblCellMar>
        </w:tblPrEx>
        <w:trPr>
          <w:trHeight w:val="272" w:hRule="atLeast"/>
        </w:trPr>
        <w:tc>
          <w:tcPr>
            <w:tcW w:w="2350" w:type="pct"/>
            <w:vMerge w:val="restart"/>
            <w:tcBorders>
              <w:top w:val="single" w:color="FFFFFF" w:sz="6" w:space="0"/>
              <w:left w:val="single" w:color="FFFFFF" w:sz="6" w:space="0"/>
              <w:bottom w:val="single" w:color="FFFFFF" w:sz="6" w:space="0"/>
              <w:right w:val="single" w:color="FFFFFF"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lang w:eastAsia="zh-CN"/>
              </w:rPr>
            </w:pPr>
            <w:r>
              <w:rPr>
                <w:rStyle w:val="479"/>
                <w:rFonts w:eastAsiaTheme="minorEastAsia"/>
                <w:color w:val="000000" w:themeColor="text1"/>
                <w:lang w:val="zh-CN" w:eastAsia="zh-CN"/>
              </w:rPr>
              <w:t>甲方</w:t>
            </w:r>
            <w:r>
              <w:rPr>
                <w:rStyle w:val="479"/>
                <w:rFonts w:eastAsiaTheme="minorEastAsia"/>
                <w:color w:val="000000" w:themeColor="text1"/>
                <w:lang w:eastAsia="zh-CN"/>
              </w:rPr>
              <w:t>:  </w:t>
            </w:r>
            <w:r>
              <w:rPr>
                <w:rStyle w:val="479"/>
                <w:rFonts w:eastAsiaTheme="minorEastAsia"/>
                <w:color w:val="000000" w:themeColor="text1"/>
                <w:u w:val="single" w:color="000000"/>
                <w:lang w:val="zh-CN" w:eastAsia="zh-CN"/>
              </w:rPr>
              <w:t>中石化南京化工机械有限公司</w:t>
            </w:r>
          </w:p>
          <w:p>
            <w:pPr>
              <w:pStyle w:val="478"/>
              <w:spacing w:line="240" w:lineRule="auto"/>
              <w:rPr>
                <w:rFonts w:eastAsiaTheme="minorEastAsia"/>
                <w:color w:val="000000" w:themeColor="text1"/>
                <w:lang w:eastAsia="zh-CN"/>
              </w:rPr>
            </w:pPr>
            <w:r>
              <w:rPr>
                <w:rStyle w:val="479"/>
                <w:rFonts w:eastAsiaTheme="minorEastAsia"/>
                <w:color w:val="000000" w:themeColor="text1"/>
                <w:lang w:val="zh-CN" w:eastAsia="zh-CN"/>
              </w:rPr>
              <w:t>乙方</w:t>
            </w:r>
            <w:r>
              <w:rPr>
                <w:rStyle w:val="479"/>
                <w:rFonts w:eastAsiaTheme="minorEastAsia"/>
                <w:color w:val="000000" w:themeColor="text1"/>
                <w:lang w:eastAsia="zh-CN"/>
              </w:rPr>
              <w:t>:  </w:t>
            </w:r>
          </w:p>
        </w:tc>
        <w:tc>
          <w:tcPr>
            <w:tcW w:w="2350" w:type="pct"/>
            <w:vMerge w:val="restart"/>
            <w:tcBorders>
              <w:top w:val="single" w:color="FFFFFF" w:sz="6" w:space="0"/>
              <w:left w:val="single" w:color="FFFFFF" w:sz="6" w:space="0"/>
              <w:bottom w:val="single" w:color="FFFFFF" w:sz="6" w:space="0"/>
              <w:right w:val="single" w:color="FFFFFF"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rPr>
            </w:pPr>
            <w:r>
              <w:rPr>
                <w:rStyle w:val="480"/>
                <w:rFonts w:eastAsiaTheme="minorEastAsia"/>
                <w:color w:val="000000" w:themeColor="text1"/>
                <w:lang w:val="zh-CN" w:eastAsia="zh-CN"/>
              </w:rPr>
              <w:t>工单编号</w:t>
            </w:r>
            <w:r>
              <w:rPr>
                <w:rStyle w:val="479"/>
                <w:rFonts w:eastAsiaTheme="minorEastAsia"/>
                <w:color w:val="000000" w:themeColor="text1"/>
                <w:lang w:val="zh-CN" w:eastAsia="zh-CN"/>
              </w:rPr>
              <w:t>：</w:t>
            </w:r>
            <w:r>
              <w:rPr>
                <w:rStyle w:val="479"/>
                <w:rFonts w:eastAsiaTheme="minorEastAsia"/>
                <w:color w:val="000000" w:themeColor="text1"/>
                <w:u w:val="single" w:color="000000"/>
                <w:lang w:val="zh-CN" w:eastAsia="zh-CN"/>
              </w:rPr>
              <w:t>/</w:t>
            </w:r>
          </w:p>
          <w:p>
            <w:pPr>
              <w:pStyle w:val="478"/>
              <w:spacing w:line="240" w:lineRule="auto"/>
              <w:rPr>
                <w:rFonts w:eastAsiaTheme="minorEastAsia"/>
                <w:color w:val="000000" w:themeColor="text1"/>
              </w:rPr>
            </w:pPr>
            <w:r>
              <w:rPr>
                <w:rStyle w:val="479"/>
                <w:rFonts w:eastAsiaTheme="minorEastAsia"/>
                <w:color w:val="000000" w:themeColor="text1"/>
              </w:rPr>
              <w:t> </w:t>
            </w:r>
          </w:p>
        </w:tc>
      </w:tr>
      <w:tr>
        <w:tblPrEx>
          <w:tblCellMar>
            <w:top w:w="15" w:type="dxa"/>
            <w:left w:w="15" w:type="dxa"/>
            <w:bottom w:w="15" w:type="dxa"/>
            <w:right w:w="15" w:type="dxa"/>
          </w:tblCellMar>
        </w:tblPrEx>
        <w:trPr>
          <w:trHeight w:val="414" w:hRule="atLeast"/>
        </w:trPr>
        <w:tc>
          <w:tcPr>
            <w:tcW w:w="0" w:type="auto"/>
            <w:vMerge w:val="continue"/>
            <w:tcBorders>
              <w:top w:val="single" w:color="FFFFFF" w:sz="6" w:space="0"/>
              <w:left w:val="single" w:color="FFFFFF" w:sz="6" w:space="0"/>
              <w:bottom w:val="single" w:color="FFFFFF" w:sz="6" w:space="0"/>
              <w:right w:val="single" w:color="FFFFFF" w:sz="6" w:space="0"/>
            </w:tcBorders>
            <w:vAlign w:val="center"/>
          </w:tcPr>
          <w:p>
            <w:pPr>
              <w:rPr>
                <w:rStyle w:val="479"/>
                <w:rFonts w:eastAsiaTheme="minorEastAsia"/>
                <w:color w:val="000000" w:themeColor="text1"/>
                <w:lang w:eastAsia="en-US"/>
              </w:rPr>
            </w:pPr>
          </w:p>
        </w:tc>
        <w:tc>
          <w:tcPr>
            <w:tcW w:w="0" w:type="auto"/>
            <w:vMerge w:val="continue"/>
            <w:tcBorders>
              <w:top w:val="single" w:color="FFFFFF" w:sz="6" w:space="0"/>
              <w:left w:val="single" w:color="FFFFFF" w:sz="6" w:space="0"/>
              <w:bottom w:val="single" w:color="FFFFFF" w:sz="6" w:space="0"/>
              <w:right w:val="single" w:color="FFFFFF" w:sz="6" w:space="0"/>
            </w:tcBorders>
            <w:vAlign w:val="center"/>
          </w:tcPr>
          <w:p>
            <w:pPr>
              <w:rPr>
                <w:rStyle w:val="479"/>
                <w:rFonts w:eastAsiaTheme="minorEastAsia"/>
                <w:color w:val="000000" w:themeColor="text1"/>
                <w:lang w:eastAsia="en-US"/>
              </w:rPr>
            </w:pPr>
          </w:p>
        </w:tc>
      </w:tr>
    </w:tbl>
    <w:p>
      <w:pPr>
        <w:snapToGrid w:val="0"/>
        <w:spacing w:line="240" w:lineRule="auto"/>
        <w:rPr>
          <w:rFonts w:ascii="宋体" w:hAnsi="宋体"/>
          <w:color w:val="000000" w:themeColor="text1"/>
        </w:rPr>
      </w:pPr>
      <w:r>
        <w:rPr>
          <w:rStyle w:val="479"/>
          <w:color w:val="000000" w:themeColor="text1"/>
          <w:lang w:val="zh-CN"/>
        </w:rPr>
        <w:t>    甲方将</w:t>
      </w:r>
      <w:r>
        <w:rPr>
          <w:rStyle w:val="479"/>
          <w:rFonts w:hint="eastAsia"/>
          <w:color w:val="000000" w:themeColor="text1"/>
          <w:u w:val="single"/>
          <w:lang w:val="zh-CN"/>
        </w:rPr>
        <w:t>2022-2023年度土建、安装零星检维修项目</w:t>
      </w:r>
      <w:r>
        <w:rPr>
          <w:rStyle w:val="479"/>
          <w:color w:val="000000" w:themeColor="text1"/>
        </w:rPr>
        <w:t>委托乙方施工，根据《中华人民共和国合同法》和相关法律法规，结合本项目的具体情况，经双方协商签订本合同，以严肃履行。</w:t>
      </w:r>
    </w:p>
    <w:p>
      <w:pPr>
        <w:pStyle w:val="476"/>
        <w:spacing w:before="22" w:after="22"/>
        <w:ind w:left="120" w:right="120"/>
        <w:rPr>
          <w:color w:val="000000" w:themeColor="text1"/>
          <w:lang w:eastAsia="zh-CN"/>
        </w:rPr>
      </w:pPr>
      <w:r>
        <w:rPr>
          <w:rStyle w:val="477"/>
          <w:b/>
          <w:bCs/>
          <w:color w:val="000000" w:themeColor="text1"/>
          <w:lang w:val="zh-CN" w:eastAsia="zh-CN"/>
        </w:rPr>
        <w:t>第一条  工程概况</w:t>
      </w:r>
    </w:p>
    <w:p>
      <w:pPr>
        <w:snapToGrid w:val="0"/>
        <w:spacing w:line="240" w:lineRule="auto"/>
        <w:ind w:firstLine="120" w:firstLineChars="50"/>
        <w:rPr>
          <w:rFonts w:ascii="宋体" w:hAnsi="宋体"/>
          <w:color w:val="000000" w:themeColor="text1"/>
        </w:rPr>
      </w:pPr>
      <w:r>
        <w:rPr>
          <w:rStyle w:val="479"/>
          <w:color w:val="000000" w:themeColor="text1"/>
          <w:lang w:val="zh-CN"/>
        </w:rPr>
        <w:t>1.工程名称：</w:t>
      </w:r>
      <w:r>
        <w:rPr>
          <w:rFonts w:hint="eastAsia" w:ascii="宋体" w:hAnsi="宋体"/>
          <w:color w:val="000000" w:themeColor="text1"/>
          <w:u w:val="single"/>
        </w:rPr>
        <w:t>2022-2023年度土建、安装零星检维修项目</w:t>
      </w:r>
    </w:p>
    <w:p>
      <w:pPr>
        <w:pStyle w:val="476"/>
        <w:spacing w:before="22" w:after="22"/>
        <w:ind w:left="120" w:right="120"/>
        <w:rPr>
          <w:color w:val="000000" w:themeColor="text1"/>
          <w:lang w:eastAsia="zh-CN"/>
        </w:rPr>
      </w:pPr>
      <w:r>
        <w:rPr>
          <w:rStyle w:val="479"/>
          <w:color w:val="000000" w:themeColor="text1"/>
          <w:lang w:val="zh-CN" w:eastAsia="zh-CN"/>
        </w:rPr>
        <w:t>2.工程地点：</w:t>
      </w:r>
      <w:r>
        <w:rPr>
          <w:rStyle w:val="479"/>
          <w:color w:val="000000" w:themeColor="text1"/>
          <w:u w:val="single"/>
          <w:lang w:val="zh-CN" w:eastAsia="zh-CN"/>
        </w:rPr>
        <w:t>化机公司厂区内</w:t>
      </w:r>
    </w:p>
    <w:p>
      <w:pPr>
        <w:spacing w:line="280" w:lineRule="atLeast"/>
        <w:ind w:firstLine="120" w:firstLineChars="50"/>
        <w:rPr>
          <w:rFonts w:asciiTheme="minorEastAsia" w:hAnsiTheme="minorEastAsia" w:eastAsiaTheme="minorEastAsia"/>
          <w:color w:val="000000" w:themeColor="text1"/>
          <w:sz w:val="28"/>
          <w:szCs w:val="28"/>
        </w:rPr>
      </w:pPr>
      <w:r>
        <w:rPr>
          <w:rStyle w:val="479"/>
          <w:color w:val="000000" w:themeColor="text1"/>
          <w:lang w:val="zh-CN"/>
        </w:rPr>
        <w:t>3.工程内容：</w:t>
      </w:r>
      <w:r>
        <w:rPr>
          <w:rStyle w:val="479"/>
          <w:rFonts w:hint="eastAsia"/>
          <w:color w:val="000000" w:themeColor="text1"/>
          <w:u w:val="single"/>
          <w:lang w:val="zh-CN"/>
        </w:rPr>
        <w:t>化机公司在2022-2023年度内对厂房、办公楼及附属设施进行修缮，公共设施及构筑物修缮，动力设施及管道修缮等。</w:t>
      </w:r>
    </w:p>
    <w:p>
      <w:pPr>
        <w:pStyle w:val="476"/>
        <w:spacing w:before="22" w:after="22"/>
        <w:ind w:left="120" w:right="120"/>
        <w:rPr>
          <w:color w:val="000000" w:themeColor="text1"/>
          <w:lang w:eastAsia="zh-CN"/>
        </w:rPr>
      </w:pPr>
      <w:r>
        <w:rPr>
          <w:rStyle w:val="479"/>
          <w:color w:val="000000" w:themeColor="text1"/>
          <w:lang w:val="zh-CN" w:eastAsia="zh-CN"/>
        </w:rPr>
        <w:t>具体以甲方提供的施工图或联系单及实际签证等确认工程内容的文件为准。</w:t>
      </w:r>
    </w:p>
    <w:p>
      <w:pPr>
        <w:pStyle w:val="476"/>
        <w:spacing w:before="22" w:after="22"/>
        <w:ind w:left="120" w:right="120"/>
        <w:rPr>
          <w:color w:val="000000" w:themeColor="text1"/>
          <w:lang w:eastAsia="zh-CN"/>
        </w:rPr>
      </w:pPr>
      <w:r>
        <w:rPr>
          <w:rStyle w:val="479"/>
          <w:color w:val="000000" w:themeColor="text1"/>
          <w:lang w:val="zh-CN" w:eastAsia="zh-CN"/>
        </w:rPr>
        <w:t xml:space="preserve">4.其他： </w:t>
      </w:r>
      <w:r>
        <w:rPr>
          <w:color w:val="000000" w:themeColor="text1"/>
          <w:u w:val="single"/>
          <w:lang w:eastAsia="zh-CN"/>
        </w:rPr>
        <w:t>/</w:t>
      </w:r>
    </w:p>
    <w:p>
      <w:pPr>
        <w:pStyle w:val="476"/>
        <w:spacing w:before="22" w:after="22"/>
        <w:ind w:left="120" w:right="120"/>
        <w:rPr>
          <w:color w:val="000000" w:themeColor="text1"/>
          <w:lang w:eastAsia="zh-CN"/>
        </w:rPr>
      </w:pPr>
      <w:r>
        <w:rPr>
          <w:rStyle w:val="477"/>
          <w:b/>
          <w:bCs/>
          <w:color w:val="000000" w:themeColor="text1"/>
          <w:lang w:val="zh-CN" w:eastAsia="zh-CN"/>
        </w:rPr>
        <w:t xml:space="preserve">第二条  期限 </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rPr>
        <w:t>1.</w:t>
      </w:r>
      <w:r>
        <w:rPr>
          <w:rStyle w:val="477"/>
          <w:rFonts w:ascii="宋体" w:hAnsi="宋体" w:eastAsia="宋体" w:cs="宋体"/>
          <w:color w:val="000000" w:themeColor="text1"/>
          <w:lang w:val="zh-CN"/>
        </w:rPr>
        <w:t xml:space="preserve"> 施工期限：</w:t>
      </w:r>
      <w:r>
        <w:rPr>
          <w:rStyle w:val="479"/>
          <w:rFonts w:ascii="宋体" w:hAnsi="宋体" w:eastAsia="宋体" w:cs="宋体"/>
          <w:color w:val="000000" w:themeColor="text1"/>
          <w:lang w:val="zh-CN"/>
        </w:rPr>
        <w:t>本合同</w:t>
      </w:r>
      <w:r>
        <w:rPr>
          <w:rFonts w:ascii="宋体" w:hAnsi="宋体" w:eastAsia="宋体" w:cs="宋体"/>
          <w:color w:val="000000" w:themeColor="text1"/>
          <w:u w:val="single"/>
        </w:rPr>
        <w:t>202</w:t>
      </w:r>
      <w:r>
        <w:rPr>
          <w:rFonts w:hint="eastAsia" w:ascii="宋体" w:hAnsi="宋体" w:cs="宋体" w:eastAsiaTheme="minorEastAsia"/>
          <w:color w:val="000000" w:themeColor="text1"/>
          <w:u w:val="single"/>
        </w:rPr>
        <w:t>2</w:t>
      </w:r>
      <w:r>
        <w:rPr>
          <w:rFonts w:ascii="宋体" w:hAnsi="宋体" w:eastAsia="宋体" w:cs="宋体"/>
          <w:color w:val="000000" w:themeColor="text1"/>
          <w:u w:val="single"/>
        </w:rPr>
        <w:t>年0</w:t>
      </w:r>
      <w:r>
        <w:rPr>
          <w:rFonts w:hint="eastAsia" w:ascii="宋体" w:hAnsi="宋体" w:cs="宋体" w:eastAsiaTheme="minorEastAsia"/>
          <w:color w:val="000000" w:themeColor="text1"/>
          <w:u w:val="single"/>
        </w:rPr>
        <w:t>7</w:t>
      </w:r>
      <w:r>
        <w:rPr>
          <w:rFonts w:ascii="宋体" w:hAnsi="宋体" w:eastAsia="宋体" w:cs="宋体"/>
          <w:color w:val="000000" w:themeColor="text1"/>
          <w:u w:val="single"/>
        </w:rPr>
        <w:t>月01日</w:t>
      </w:r>
      <w:r>
        <w:rPr>
          <w:rStyle w:val="479"/>
          <w:rFonts w:ascii="宋体" w:hAnsi="宋体" w:eastAsia="宋体" w:cs="宋体"/>
          <w:color w:val="000000" w:themeColor="text1"/>
        </w:rPr>
        <w:t>开工，</w:t>
      </w:r>
      <w:r>
        <w:rPr>
          <w:rFonts w:ascii="宋体" w:hAnsi="宋体" w:eastAsia="宋体" w:cs="宋体"/>
          <w:color w:val="000000" w:themeColor="text1"/>
          <w:u w:val="single"/>
        </w:rPr>
        <w:t>202</w:t>
      </w:r>
      <w:r>
        <w:rPr>
          <w:rFonts w:hint="eastAsia" w:ascii="宋体" w:hAnsi="宋体" w:cs="宋体" w:eastAsiaTheme="minorEastAsia"/>
          <w:color w:val="000000" w:themeColor="text1"/>
          <w:u w:val="single"/>
        </w:rPr>
        <w:t>3</w:t>
      </w:r>
      <w:r>
        <w:rPr>
          <w:rFonts w:ascii="宋体" w:hAnsi="宋体" w:eastAsia="宋体" w:cs="宋体"/>
          <w:color w:val="000000" w:themeColor="text1"/>
          <w:u w:val="single"/>
        </w:rPr>
        <w:t>年</w:t>
      </w:r>
      <w:r>
        <w:rPr>
          <w:rFonts w:hint="eastAsia" w:ascii="宋体" w:hAnsi="宋体" w:cs="宋体" w:eastAsiaTheme="minorEastAsia"/>
          <w:color w:val="000000" w:themeColor="text1"/>
          <w:u w:val="single"/>
        </w:rPr>
        <w:t>6</w:t>
      </w:r>
      <w:r>
        <w:rPr>
          <w:rFonts w:ascii="宋体" w:hAnsi="宋体" w:eastAsia="宋体" w:cs="宋体"/>
          <w:color w:val="000000" w:themeColor="text1"/>
          <w:u w:val="single"/>
        </w:rPr>
        <w:t>月3</w:t>
      </w:r>
      <w:r>
        <w:rPr>
          <w:rFonts w:hint="eastAsia" w:ascii="宋体" w:hAnsi="宋体" w:cs="宋体" w:eastAsiaTheme="minorEastAsia"/>
          <w:color w:val="000000" w:themeColor="text1"/>
          <w:u w:val="single"/>
        </w:rPr>
        <w:t>0</w:t>
      </w:r>
      <w:r>
        <w:rPr>
          <w:rFonts w:ascii="宋体" w:hAnsi="宋体" w:eastAsia="宋体" w:cs="宋体"/>
          <w:color w:val="000000" w:themeColor="text1"/>
          <w:u w:val="single"/>
        </w:rPr>
        <w:t>日</w:t>
      </w:r>
      <w:r>
        <w:rPr>
          <w:rStyle w:val="479"/>
          <w:rFonts w:ascii="宋体" w:hAnsi="宋体" w:eastAsia="宋体" w:cs="宋体"/>
          <w:color w:val="000000" w:themeColor="text1"/>
          <w:lang w:val="zh-CN"/>
        </w:rPr>
        <w:t>竣工。具体根据甲方通知安排执行。如甲方原因影响进度，则工期顺延。</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rPr>
        <w:t xml:space="preserve">2. </w:t>
      </w:r>
      <w:r>
        <w:rPr>
          <w:rStyle w:val="477"/>
          <w:rFonts w:ascii="宋体" w:hAnsi="宋体" w:eastAsia="宋体" w:cs="宋体"/>
          <w:color w:val="000000" w:themeColor="text1"/>
          <w:lang w:val="zh-CN"/>
        </w:rPr>
        <w:t>合同履行期限</w:t>
      </w:r>
      <w:r>
        <w:rPr>
          <w:rStyle w:val="479"/>
          <w:rFonts w:ascii="宋体" w:hAnsi="宋体" w:eastAsia="宋体" w:cs="宋体"/>
          <w:color w:val="000000" w:themeColor="text1"/>
          <w:lang w:val="zh-CN"/>
        </w:rPr>
        <w:t>：</w:t>
      </w:r>
      <w:r>
        <w:rPr>
          <w:rFonts w:ascii="宋体" w:hAnsi="宋体" w:eastAsia="宋体" w:cs="宋体"/>
          <w:color w:val="000000" w:themeColor="text1"/>
          <w:u w:val="single"/>
        </w:rPr>
        <w:t>202</w:t>
      </w:r>
      <w:r>
        <w:rPr>
          <w:rFonts w:hint="eastAsia" w:ascii="宋体" w:hAnsi="宋体" w:cs="宋体" w:eastAsiaTheme="minorEastAsia"/>
          <w:color w:val="000000" w:themeColor="text1"/>
          <w:u w:val="single"/>
        </w:rPr>
        <w:t>2</w:t>
      </w:r>
      <w:r>
        <w:rPr>
          <w:rFonts w:ascii="宋体" w:hAnsi="宋体" w:eastAsia="宋体" w:cs="宋体"/>
          <w:color w:val="000000" w:themeColor="text1"/>
          <w:u w:val="single"/>
        </w:rPr>
        <w:t>年</w:t>
      </w:r>
      <w:r>
        <w:rPr>
          <w:rFonts w:hint="eastAsia" w:ascii="宋体" w:hAnsi="宋体" w:cs="宋体" w:eastAsiaTheme="minorEastAsia"/>
          <w:color w:val="000000" w:themeColor="text1"/>
          <w:u w:val="single"/>
        </w:rPr>
        <w:t>07</w:t>
      </w:r>
      <w:r>
        <w:rPr>
          <w:rFonts w:ascii="宋体" w:hAnsi="宋体" w:eastAsia="宋体" w:cs="宋体"/>
          <w:color w:val="000000" w:themeColor="text1"/>
          <w:u w:val="single"/>
        </w:rPr>
        <w:t>月01日</w:t>
      </w:r>
      <w:r>
        <w:rPr>
          <w:rStyle w:val="479"/>
          <w:rFonts w:ascii="宋体" w:hAnsi="宋体" w:eastAsia="宋体" w:cs="宋体"/>
          <w:color w:val="000000" w:themeColor="text1"/>
        </w:rPr>
        <w:t>至</w:t>
      </w:r>
      <w:r>
        <w:rPr>
          <w:rFonts w:ascii="宋体" w:hAnsi="宋体" w:eastAsia="宋体" w:cs="宋体"/>
          <w:color w:val="000000" w:themeColor="text1"/>
          <w:u w:val="single"/>
        </w:rPr>
        <w:t>202</w:t>
      </w:r>
      <w:r>
        <w:rPr>
          <w:rFonts w:hint="eastAsia" w:ascii="宋体" w:hAnsi="宋体" w:cs="宋体" w:eastAsiaTheme="minorEastAsia"/>
          <w:color w:val="000000" w:themeColor="text1"/>
          <w:u w:val="single"/>
        </w:rPr>
        <w:t>3</w:t>
      </w:r>
      <w:r>
        <w:rPr>
          <w:rFonts w:ascii="宋体" w:hAnsi="宋体" w:eastAsia="宋体" w:cs="宋体"/>
          <w:color w:val="000000" w:themeColor="text1"/>
          <w:u w:val="single"/>
        </w:rPr>
        <w:t>年</w:t>
      </w:r>
      <w:r>
        <w:rPr>
          <w:rFonts w:hint="eastAsia" w:ascii="宋体" w:hAnsi="宋体" w:cs="宋体" w:eastAsiaTheme="minorEastAsia"/>
          <w:color w:val="000000" w:themeColor="text1"/>
          <w:u w:val="single"/>
        </w:rPr>
        <w:t>12</w:t>
      </w:r>
      <w:r>
        <w:rPr>
          <w:rFonts w:ascii="宋体" w:hAnsi="宋体" w:eastAsia="宋体" w:cs="宋体"/>
          <w:color w:val="000000" w:themeColor="text1"/>
          <w:u w:val="single"/>
        </w:rPr>
        <w:t>月3</w:t>
      </w:r>
      <w:r>
        <w:rPr>
          <w:rFonts w:hint="eastAsia" w:ascii="宋体" w:hAnsi="宋体" w:cs="宋体" w:eastAsiaTheme="minorEastAsia"/>
          <w:color w:val="000000" w:themeColor="text1"/>
          <w:u w:val="single"/>
        </w:rPr>
        <w:t>1</w:t>
      </w:r>
      <w:r>
        <w:rPr>
          <w:rFonts w:ascii="宋体" w:hAnsi="宋体" w:eastAsia="宋体" w:cs="宋体"/>
          <w:color w:val="000000" w:themeColor="text1"/>
          <w:u w:val="single"/>
        </w:rPr>
        <w:t>日</w:t>
      </w:r>
      <w:r>
        <w:rPr>
          <w:rStyle w:val="479"/>
          <w:rFonts w:ascii="宋体" w:hAnsi="宋体" w:eastAsia="宋体" w:cs="宋体"/>
          <w:color w:val="000000" w:themeColor="text1"/>
          <w:lang w:val="zh-CN"/>
        </w:rPr>
        <w:t>（包括但不限于工程结算、工程质保期等，以最晚到达时间为合同履行结束时间）。</w:t>
      </w:r>
    </w:p>
    <w:p>
      <w:pPr>
        <w:pStyle w:val="476"/>
        <w:spacing w:before="22" w:after="22"/>
        <w:ind w:left="120" w:right="120"/>
        <w:rPr>
          <w:color w:val="000000" w:themeColor="text1"/>
          <w:lang w:eastAsia="zh-CN"/>
        </w:rPr>
      </w:pPr>
      <w:r>
        <w:rPr>
          <w:rStyle w:val="477"/>
          <w:b/>
          <w:bCs/>
          <w:color w:val="000000" w:themeColor="text1"/>
          <w:lang w:val="zh-CN" w:eastAsia="zh-CN"/>
        </w:rPr>
        <w:t>第三条  合同价款</w:t>
      </w:r>
    </w:p>
    <w:p>
      <w:pPr>
        <w:pStyle w:val="476"/>
        <w:spacing w:before="22" w:after="22"/>
        <w:ind w:left="120" w:right="120"/>
        <w:rPr>
          <w:color w:val="000000" w:themeColor="text1"/>
          <w:lang w:eastAsia="zh-CN"/>
        </w:rPr>
      </w:pPr>
      <w:r>
        <w:rPr>
          <w:rStyle w:val="479"/>
          <w:color w:val="000000" w:themeColor="text1"/>
          <w:lang w:val="zh-CN" w:eastAsia="zh-CN"/>
        </w:rPr>
        <w:t>本工程合同价款执行以下</w:t>
      </w:r>
      <w:r>
        <w:rPr>
          <w:rStyle w:val="479"/>
          <w:color w:val="000000" w:themeColor="text1"/>
          <w:lang w:eastAsia="zh-CN"/>
        </w:rPr>
        <w:t>方式执行：</w:t>
      </w:r>
    </w:p>
    <w:p>
      <w:pPr>
        <w:ind w:left="120" w:right="120"/>
        <w:rPr>
          <w:vanish/>
          <w:color w:val="000000" w:themeColor="text1"/>
        </w:rPr>
      </w:pPr>
      <w:r>
        <w:rPr>
          <w:rStyle w:val="479"/>
          <w:vanish/>
          <w:color w:val="000000" w:themeColor="text1"/>
          <w:lang w:val="zh-CN"/>
        </w:rPr>
        <w:t>固定价：本工程合同价款为固定价格，约定后不再调整。双方约定本工程合同价款为</w:t>
      </w:r>
      <w:r>
        <w:rPr>
          <w:vanish/>
          <w:color w:val="000000" w:themeColor="text1"/>
          <w:u w:val="single"/>
        </w:rPr>
        <w:t>500000.00</w:t>
      </w:r>
      <w:r>
        <w:rPr>
          <w:rStyle w:val="479"/>
          <w:vanish/>
          <w:color w:val="000000" w:themeColor="text1"/>
        </w:rPr>
        <w:t>元（</w:t>
      </w:r>
      <w:r>
        <w:rPr>
          <w:rStyle w:val="482"/>
          <w:vanish/>
          <w:color w:val="000000" w:themeColor="text1"/>
          <w:lang w:val="zh-CN"/>
        </w:rPr>
        <w:t>含增值税</w:t>
      </w:r>
      <w:r>
        <w:rPr>
          <w:rStyle w:val="479"/>
          <w:vanish/>
          <w:color w:val="000000" w:themeColor="text1"/>
          <w:lang w:val="zh-CN"/>
        </w:rPr>
        <w:t>），大写：</w:t>
      </w:r>
      <w:r>
        <w:rPr>
          <w:rStyle w:val="479"/>
          <w:vanish/>
          <w:color w:val="000000" w:themeColor="text1"/>
          <w:u w:val="single"/>
          <w:lang w:val="zh-CN"/>
        </w:rPr>
        <w:t>伍拾万元整</w:t>
      </w:r>
      <w:r>
        <w:rPr>
          <w:rStyle w:val="479"/>
          <w:vanish/>
          <w:color w:val="000000" w:themeColor="text1"/>
          <w:lang w:val="zh-CN"/>
        </w:rPr>
        <w:t>（</w:t>
      </w:r>
      <w:r>
        <w:rPr>
          <w:rStyle w:val="479"/>
          <w:vanish/>
          <w:color w:val="000000" w:themeColor="text1"/>
          <w:u w:val="single"/>
          <w:lang w:val="zh-CN"/>
        </w:rPr>
        <w:t>详见报价单、预算、中标通知书等，具体以实际为准</w:t>
      </w:r>
      <w:r>
        <w:rPr>
          <w:rStyle w:val="479"/>
          <w:vanish/>
          <w:color w:val="000000" w:themeColor="text1"/>
          <w:lang w:val="zh-CN"/>
        </w:rPr>
        <w:t>）。</w:t>
      </w:r>
    </w:p>
    <w:p>
      <w:pPr>
        <w:ind w:left="120" w:right="120"/>
        <w:rPr>
          <w:color w:val="000000" w:themeColor="text1"/>
        </w:rPr>
      </w:pPr>
      <w:r>
        <w:rPr>
          <w:rStyle w:val="479"/>
          <w:color w:val="000000" w:themeColor="text1"/>
          <w:lang w:val="zh-CN"/>
        </w:rPr>
        <w:t>可调价：本工程采用</w:t>
      </w:r>
      <w:r>
        <w:rPr>
          <w:color w:val="000000" w:themeColor="text1"/>
          <w:u w:val="single"/>
        </w:rPr>
        <w:t>按实</w:t>
      </w:r>
      <w:r>
        <w:rPr>
          <w:rStyle w:val="479"/>
          <w:color w:val="000000" w:themeColor="text1"/>
          <w:lang w:val="zh-CN"/>
        </w:rPr>
        <w:t>计价，本工程合同价款暂定人民币大写：</w:t>
      </w:r>
      <w:r>
        <w:rPr>
          <w:rFonts w:hint="eastAsia"/>
          <w:color w:val="000000" w:themeColor="text1"/>
          <w:u w:val="single"/>
        </w:rPr>
        <w:t xml:space="preserve">        </w:t>
      </w:r>
      <w:r>
        <w:rPr>
          <w:color w:val="000000" w:themeColor="text1"/>
        </w:rPr>
        <w:t>，</w:t>
      </w:r>
      <w:r>
        <w:rPr>
          <w:rStyle w:val="482"/>
          <w:color w:val="000000" w:themeColor="text1"/>
          <w:lang w:val="zh-CN"/>
        </w:rPr>
        <w:t>小写￥</w:t>
      </w:r>
      <w:r>
        <w:rPr>
          <w:rFonts w:hint="eastAsia"/>
          <w:color w:val="000000" w:themeColor="text1"/>
          <w:u w:val="single"/>
        </w:rPr>
        <w:t xml:space="preserve">          </w:t>
      </w:r>
      <w:r>
        <w:rPr>
          <w:rStyle w:val="479"/>
          <w:color w:val="000000" w:themeColor="text1"/>
          <w:lang w:val="zh-CN"/>
        </w:rPr>
        <w:t>元（</w:t>
      </w:r>
      <w:r>
        <w:rPr>
          <w:rStyle w:val="482"/>
          <w:color w:val="000000" w:themeColor="text1"/>
          <w:lang w:val="zh-CN"/>
        </w:rPr>
        <w:t>含</w:t>
      </w:r>
      <w:r>
        <w:rPr>
          <w:rStyle w:val="483"/>
          <w:color w:val="000000" w:themeColor="text1"/>
          <w:u w:val="single"/>
          <w:lang w:val="zh-CN"/>
        </w:rPr>
        <w:t>  9%</w:t>
      </w:r>
      <w:r>
        <w:rPr>
          <w:rStyle w:val="479"/>
          <w:color w:val="000000" w:themeColor="text1"/>
          <w:lang w:val="zh-CN"/>
        </w:rPr>
        <w:t>增值税），</w:t>
      </w:r>
      <w:r>
        <w:rPr>
          <w:color w:val="000000" w:themeColor="text1"/>
          <w:u w:val="single"/>
        </w:rPr>
        <w:t>最终以甲方审定的工程结算为准（预算编制依据执行第五条的规定）</w:t>
      </w:r>
      <w:r>
        <w:rPr>
          <w:rStyle w:val="479"/>
          <w:color w:val="000000" w:themeColor="text1"/>
          <w:lang w:val="zh-CN"/>
        </w:rPr>
        <w:t>。</w:t>
      </w:r>
    </w:p>
    <w:p>
      <w:pPr>
        <w:pStyle w:val="476"/>
        <w:spacing w:before="22" w:after="22"/>
        <w:ind w:left="120" w:right="120"/>
        <w:rPr>
          <w:color w:val="000000" w:themeColor="text1"/>
          <w:lang w:eastAsia="zh-CN"/>
        </w:rPr>
      </w:pPr>
      <w:r>
        <w:rPr>
          <w:rStyle w:val="477"/>
          <w:b/>
          <w:bCs/>
          <w:color w:val="000000" w:themeColor="text1"/>
          <w:lang w:val="zh-CN" w:eastAsia="zh-CN"/>
        </w:rPr>
        <w:t>第四条：合同价款的支付和结算</w:t>
      </w:r>
    </w:p>
    <w:p>
      <w:pPr>
        <w:pStyle w:val="476"/>
        <w:spacing w:before="22" w:after="22"/>
        <w:ind w:left="120" w:right="120"/>
        <w:rPr>
          <w:color w:val="000000" w:themeColor="text1"/>
          <w:lang w:eastAsia="zh-CN"/>
        </w:rPr>
      </w:pPr>
      <w:r>
        <w:rPr>
          <w:rStyle w:val="479"/>
          <w:color w:val="000000" w:themeColor="text1"/>
          <w:lang w:val="zh-CN" w:eastAsia="zh-CN"/>
        </w:rPr>
        <w:t>1.合同价款的支付和结算采用以下方式执行：</w:t>
      </w:r>
    </w:p>
    <w:p>
      <w:pPr>
        <w:ind w:left="120" w:right="120"/>
        <w:rPr>
          <w:color w:val="000000" w:themeColor="text1"/>
        </w:rPr>
      </w:pPr>
      <w:r>
        <w:rPr>
          <w:rStyle w:val="479"/>
          <w:color w:val="000000" w:themeColor="text1"/>
          <w:lang w:val="zh-CN"/>
        </w:rPr>
        <w:t>一次性支付：在乙方工程完工并经甲方验收合格后，按照甲方最终认可的价款向乙方支付除质保金以外的合同价款。</w:t>
      </w:r>
    </w:p>
    <w:p>
      <w:pPr>
        <w:pStyle w:val="476"/>
        <w:spacing w:before="22" w:after="22"/>
        <w:ind w:left="120" w:right="120"/>
        <w:rPr>
          <w:vanish/>
          <w:color w:val="000000" w:themeColor="text1"/>
        </w:rPr>
      </w:pPr>
      <w:r>
        <w:rPr>
          <w:rStyle w:val="479"/>
          <w:vanish/>
          <w:color w:val="000000" w:themeColor="text1"/>
          <w:lang w:val="zh-CN" w:eastAsia="zh-CN"/>
        </w:rPr>
        <w:t>分期支付（质保金除外）：</w:t>
      </w:r>
    </w:p>
    <w:p>
      <w:pPr>
        <w:spacing w:before="22"/>
        <w:ind w:left="120" w:right="120"/>
        <w:rPr>
          <w:rFonts w:ascii="宋体" w:hAnsi="宋体" w:eastAsia="宋体" w:cs="宋体"/>
          <w:color w:val="000000" w:themeColor="text1"/>
        </w:rPr>
      </w:pPr>
      <w:r>
        <w:rPr>
          <w:rStyle w:val="483"/>
          <w:rFonts w:ascii="宋体" w:hAnsi="宋体" w:eastAsia="宋体" w:cs="宋体"/>
          <w:color w:val="000000" w:themeColor="text1"/>
          <w:u w:val="single"/>
          <w:lang w:val="zh-CN"/>
        </w:rPr>
        <w:t>2.银行电汇、银行承兑汇票。甲方可支付不低于70%合同价款的银行承兑汇票</w:t>
      </w:r>
    </w:p>
    <w:p>
      <w:pPr>
        <w:ind w:left="120" w:right="120"/>
        <w:rPr>
          <w:rFonts w:ascii="宋体" w:hAnsi="宋体" w:eastAsia="宋体" w:cs="宋体"/>
          <w:color w:val="000000" w:themeColor="text1"/>
        </w:rPr>
      </w:pPr>
      <w:r>
        <w:rPr>
          <w:rStyle w:val="483"/>
          <w:rFonts w:ascii="宋体" w:hAnsi="宋体" w:eastAsia="宋体" w:cs="宋体"/>
          <w:color w:val="000000" w:themeColor="text1"/>
          <w:u w:val="single"/>
        </w:rPr>
        <w:t>3.付款期限按以下___1_方式执行：</w:t>
      </w:r>
    </w:p>
    <w:p>
      <w:pPr>
        <w:spacing w:before="22"/>
        <w:ind w:left="120" w:right="120"/>
        <w:rPr>
          <w:rFonts w:ascii="宋体" w:hAnsi="宋体" w:eastAsia="宋体" w:cs="宋体"/>
          <w:color w:val="000000" w:themeColor="text1"/>
        </w:rPr>
      </w:pPr>
      <w:r>
        <w:rPr>
          <w:rStyle w:val="483"/>
          <w:rFonts w:ascii="宋体" w:hAnsi="宋体" w:eastAsia="宋体" w:cs="宋体"/>
          <w:color w:val="000000" w:themeColor="text1"/>
          <w:u w:val="single"/>
        </w:rPr>
        <w:t>（1）乙方收到甲方验收合格的审计报告，甲方收到乙方提供有效发票（增值税专用发票）后90天内，向乙方支付合同价款。</w:t>
      </w:r>
    </w:p>
    <w:p>
      <w:pPr>
        <w:ind w:left="120" w:right="120"/>
        <w:rPr>
          <w:rFonts w:ascii="宋体" w:hAnsi="宋体" w:eastAsia="宋体" w:cs="宋体"/>
          <w:color w:val="000000" w:themeColor="text1"/>
        </w:rPr>
      </w:pPr>
      <w:r>
        <w:rPr>
          <w:rFonts w:ascii="宋体" w:hAnsi="宋体" w:eastAsia="宋体" w:cs="宋体"/>
          <w:color w:val="000000" w:themeColor="text1"/>
          <w:u w:val="single"/>
        </w:rPr>
        <w:t>（2）乙方收到甲方验收合格的审计报告，乙方开具全额增值税发票并送至甲方后180天内付合同总价的____%大写：_______________，余____%大写：______________作为质量保证金，待设备质量保证期满后_____日内付清。</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u w:val="single"/>
          <w:lang w:val="zh-CN"/>
        </w:rPr>
        <w:t>质保金的支付条件：质保期内无质量问题，质保期满后支付（无息）。</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u w:val="single"/>
          <w:lang w:val="zh-CN"/>
        </w:rPr>
        <w:t>4.施工用水、电费的扣除：</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乙方施工过程中使用的水电及其他公用工程等按计量表按实结算；如果未装水、电等计量表时，开工前水、电由发包人接至施工现场，结算时按定额扣除（税后扣回）。施工用水电费用扣除，建筑工程按分部分项费用中人工费、材料费和机械费三项之和的1.51%扣除；安装工程水电费按机械费的15%扣除；如在厂外预制场预制的，经项目经理确认后，预制部分可不扣，但安装部分要扣除，按前述方法的40%扣除；大型机具租赁水电费不计取，结算时不扣除水电费。</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5.合同价含安全防护措施费，取费标准按下文第五条第4款。安全防护措施项目实施前必须书面报甲方及监理单位,完成后必须立即通知甲方或监理现场确认方可签认。安全防护措施项目工作量单独签证，并在决算中单列。安全防护措施费专款专用，不得挪用。</w:t>
      </w:r>
    </w:p>
    <w:p>
      <w:pPr>
        <w:pStyle w:val="476"/>
        <w:spacing w:before="22" w:after="22"/>
        <w:ind w:left="120" w:right="120"/>
        <w:rPr>
          <w:color w:val="000000" w:themeColor="text1"/>
          <w:lang w:eastAsia="zh-CN"/>
        </w:rPr>
      </w:pPr>
      <w:r>
        <w:rPr>
          <w:rStyle w:val="477"/>
          <w:b/>
          <w:bCs/>
          <w:color w:val="000000" w:themeColor="text1"/>
          <w:lang w:val="zh-CN" w:eastAsia="zh-CN"/>
        </w:rPr>
        <w:t>第五条  施工图预(结)算编制依据</w:t>
      </w:r>
    </w:p>
    <w:p>
      <w:pPr>
        <w:pStyle w:val="476"/>
        <w:spacing w:before="22" w:after="22"/>
        <w:ind w:left="120" w:right="120"/>
        <w:rPr>
          <w:color w:val="000000" w:themeColor="text1"/>
          <w:lang w:eastAsia="zh-CN"/>
        </w:rPr>
      </w:pPr>
      <w:r>
        <w:rPr>
          <w:rStyle w:val="479"/>
          <w:color w:val="000000" w:themeColor="text1"/>
          <w:lang w:val="zh-CN" w:eastAsia="zh-CN"/>
        </w:rPr>
        <w:t>1.预算定额：</w:t>
      </w:r>
    </w:p>
    <w:p>
      <w:pPr>
        <w:ind w:left="120" w:right="120"/>
        <w:rPr>
          <w:color w:val="000000" w:themeColor="text1"/>
        </w:rPr>
      </w:pPr>
      <w:r>
        <w:rPr>
          <w:rStyle w:val="479"/>
          <w:color w:val="000000" w:themeColor="text1"/>
          <w:lang w:val="zh-CN"/>
        </w:rPr>
        <w:t>安装定额执行</w:t>
      </w:r>
      <w:r>
        <w:rPr>
          <w:rStyle w:val="483"/>
          <w:color w:val="000000" w:themeColor="text1"/>
          <w:u w:val="single"/>
        </w:rPr>
        <w:t>石油化工安装工程预算定额（2007版），检修定额执行石油化工行业检修工程预算定额（2009版）。安装计价执行中国石化建（2014）321号动态调整文件和中国石化建（2016）307号，检修计价执行中国石化建（2014）322号动态调整文件和中国石化建（2016）369号</w:t>
      </w:r>
    </w:p>
    <w:p>
      <w:pPr>
        <w:ind w:left="120" w:right="120"/>
        <w:rPr>
          <w:color w:val="000000" w:themeColor="text1"/>
        </w:rPr>
      </w:pPr>
      <w:r>
        <w:rPr>
          <w:color w:val="000000" w:themeColor="text1"/>
        </w:rPr>
        <w:t>土建工程执行</w:t>
      </w:r>
      <w:r>
        <w:rPr>
          <w:rStyle w:val="483"/>
          <w:color w:val="000000" w:themeColor="text1"/>
          <w:u w:val="single"/>
        </w:rPr>
        <w:t>2014年江苏省建筑与装饰工程计价定额、2009年江苏省修缮工程计价定额。人工单价执行苏建函价（2016）570号，按《江苏省建设工程费用定额》（2014年）分类取费，费税执行苏建价【2016年】154号</w:t>
      </w:r>
      <w:r>
        <w:rPr>
          <w:color w:val="000000" w:themeColor="text1"/>
        </w:rPr>
        <w:t>规定。</w:t>
      </w:r>
    </w:p>
    <w:p>
      <w:pPr>
        <w:pStyle w:val="476"/>
        <w:spacing w:before="22" w:after="22"/>
        <w:ind w:left="120" w:right="120"/>
        <w:rPr>
          <w:color w:val="000000" w:themeColor="text1"/>
          <w:lang w:eastAsia="zh-CN"/>
        </w:rPr>
      </w:pPr>
      <w:r>
        <w:rPr>
          <w:rStyle w:val="479"/>
          <w:color w:val="000000" w:themeColor="text1"/>
          <w:lang w:val="zh-CN" w:eastAsia="zh-CN"/>
        </w:rPr>
        <w:t>2.安装类别、取费执行：</w:t>
      </w:r>
    </w:p>
    <w:p>
      <w:pPr>
        <w:pStyle w:val="476"/>
        <w:spacing w:before="22" w:after="22"/>
        <w:ind w:left="120" w:right="120"/>
        <w:rPr>
          <w:color w:val="000000" w:themeColor="text1"/>
          <w:lang w:eastAsia="zh-CN"/>
        </w:rPr>
      </w:pPr>
      <w:r>
        <w:rPr>
          <w:rStyle w:val="479"/>
          <w:color w:val="000000" w:themeColor="text1"/>
          <w:lang w:val="zh-CN" w:eastAsia="zh-CN"/>
        </w:rPr>
        <w:t>本工程类别，安装按</w:t>
      </w:r>
      <w:r>
        <w:rPr>
          <w:rStyle w:val="479"/>
          <w:color w:val="000000" w:themeColor="text1"/>
          <w:u w:val="single"/>
          <w:lang w:val="zh-CN" w:eastAsia="zh-CN"/>
        </w:rPr>
        <w:t>三</w:t>
      </w:r>
      <w:r>
        <w:rPr>
          <w:rStyle w:val="479"/>
          <w:color w:val="000000" w:themeColor="text1"/>
          <w:lang w:val="zh-CN" w:eastAsia="zh-CN"/>
        </w:rPr>
        <w:t>类执行，土建按</w:t>
      </w:r>
      <w:r>
        <w:rPr>
          <w:rStyle w:val="479"/>
          <w:color w:val="000000" w:themeColor="text1"/>
          <w:u w:val="single"/>
          <w:lang w:val="zh-CN" w:eastAsia="zh-CN"/>
        </w:rPr>
        <w:t>三</w:t>
      </w:r>
      <w:r>
        <w:rPr>
          <w:rStyle w:val="479"/>
          <w:color w:val="000000" w:themeColor="text1"/>
          <w:lang w:val="zh-CN" w:eastAsia="zh-CN"/>
        </w:rPr>
        <w:t>类执行；施工组织措施费费率按</w:t>
      </w:r>
      <w:r>
        <w:rPr>
          <w:rStyle w:val="479"/>
          <w:color w:val="000000" w:themeColor="text1"/>
          <w:u w:val="single"/>
          <w:lang w:val="zh-CN" w:eastAsia="zh-CN"/>
        </w:rPr>
        <w:t>/</w:t>
      </w:r>
      <w:r>
        <w:rPr>
          <w:rStyle w:val="479"/>
          <w:color w:val="000000" w:themeColor="text1"/>
          <w:lang w:val="zh-CN" w:eastAsia="zh-CN"/>
        </w:rPr>
        <w:t>计算。</w:t>
      </w:r>
    </w:p>
    <w:p>
      <w:pPr>
        <w:pStyle w:val="476"/>
        <w:spacing w:before="22" w:after="22"/>
        <w:ind w:left="120" w:right="120"/>
        <w:rPr>
          <w:color w:val="000000" w:themeColor="text1"/>
          <w:lang w:eastAsia="zh-CN"/>
        </w:rPr>
      </w:pPr>
      <w:r>
        <w:rPr>
          <w:rStyle w:val="479"/>
          <w:color w:val="000000" w:themeColor="text1"/>
          <w:lang w:eastAsia="zh-CN"/>
        </w:rPr>
        <w:t>3.</w:t>
      </w:r>
      <w:r>
        <w:rPr>
          <w:rStyle w:val="479"/>
          <w:color w:val="000000" w:themeColor="text1"/>
          <w:lang w:val="zh-CN" w:eastAsia="zh-CN"/>
        </w:rPr>
        <w:t>经协商安装工程安装费下浮</w:t>
      </w:r>
      <w:r>
        <w:rPr>
          <w:color w:val="000000" w:themeColor="text1"/>
          <w:u w:val="single"/>
          <w:lang w:eastAsia="zh-CN"/>
        </w:rPr>
        <w:t>综合降点率（不含材料）</w:t>
      </w:r>
      <w:r>
        <w:rPr>
          <w:rStyle w:val="479"/>
          <w:color w:val="000000" w:themeColor="text1"/>
          <w:lang w:eastAsia="zh-CN"/>
        </w:rPr>
        <w:t>%</w:t>
      </w:r>
      <w:r>
        <w:rPr>
          <w:rStyle w:val="479"/>
          <w:color w:val="000000" w:themeColor="text1"/>
          <w:lang w:val="zh-CN" w:eastAsia="zh-CN"/>
        </w:rPr>
        <w:t>；土建工程施工费下浮</w:t>
      </w:r>
      <w:r>
        <w:rPr>
          <w:color w:val="000000" w:themeColor="text1"/>
          <w:u w:val="single"/>
          <w:lang w:eastAsia="zh-CN"/>
        </w:rPr>
        <w:t>综合降点率(不含材料）</w:t>
      </w:r>
      <w:r>
        <w:rPr>
          <w:rStyle w:val="479"/>
          <w:color w:val="000000" w:themeColor="text1"/>
          <w:lang w:eastAsia="zh-CN"/>
        </w:rPr>
        <w:t xml:space="preserve">%。 </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rPr>
        <w:t>4.</w:t>
      </w:r>
      <w:r>
        <w:rPr>
          <w:rStyle w:val="479"/>
          <w:rFonts w:ascii="宋体" w:hAnsi="宋体" w:eastAsia="宋体" w:cs="宋体"/>
          <w:color w:val="000000" w:themeColor="text1"/>
          <w:lang w:val="zh-CN"/>
        </w:rPr>
        <w:t>安全措施防护费按</w:t>
      </w:r>
      <w:r>
        <w:rPr>
          <w:rStyle w:val="479"/>
          <w:rFonts w:hint="eastAsia" w:ascii="宋体" w:hAnsi="宋体" w:cs="宋体" w:eastAsiaTheme="minorEastAsia"/>
          <w:color w:val="000000" w:themeColor="text1"/>
          <w:u w:val="single"/>
          <w:lang w:val="zh-CN"/>
        </w:rPr>
        <w:t xml:space="preserve">  约定定额 </w:t>
      </w:r>
      <w:r>
        <w:rPr>
          <w:rStyle w:val="479"/>
          <w:rFonts w:ascii="宋体" w:hAnsi="宋体" w:eastAsia="宋体" w:cs="宋体"/>
          <w:color w:val="000000" w:themeColor="text1"/>
          <w:lang w:val="zh-CN"/>
        </w:rPr>
        <w:t>执行，脚手架按</w:t>
      </w:r>
      <w:r>
        <w:rPr>
          <w:rFonts w:hint="eastAsia" w:ascii="宋体" w:hAnsi="宋体" w:cs="宋体" w:eastAsiaTheme="minorEastAsia"/>
          <w:color w:val="000000" w:themeColor="text1"/>
          <w:u w:val="single"/>
        </w:rPr>
        <w:t xml:space="preserve"> </w:t>
      </w:r>
      <w:r>
        <w:rPr>
          <w:rStyle w:val="479"/>
          <w:rFonts w:hint="eastAsia" w:ascii="宋体" w:hAnsi="宋体" w:cs="宋体" w:eastAsiaTheme="minorEastAsia"/>
          <w:color w:val="000000" w:themeColor="text1"/>
          <w:u w:val="single"/>
          <w:lang w:val="zh-CN"/>
        </w:rPr>
        <w:t>/</w:t>
      </w:r>
      <w:r>
        <w:rPr>
          <w:rFonts w:hint="eastAsia" w:ascii="宋体" w:hAnsi="宋体" w:cs="宋体" w:eastAsiaTheme="minorEastAsia"/>
          <w:color w:val="000000" w:themeColor="text1"/>
          <w:u w:val="single"/>
        </w:rPr>
        <w:t xml:space="preserve"> </w:t>
      </w:r>
      <w:r>
        <w:rPr>
          <w:rStyle w:val="479"/>
          <w:rFonts w:ascii="宋体" w:hAnsi="宋体" w:eastAsia="宋体" w:cs="宋体"/>
          <w:color w:val="000000" w:themeColor="text1"/>
        </w:rPr>
        <w:t>执行。</w:t>
      </w:r>
      <w:r>
        <w:rPr>
          <w:rStyle w:val="479"/>
          <w:rFonts w:ascii="宋体" w:hAnsi="宋体" w:eastAsia="宋体" w:cs="宋体"/>
          <w:color w:val="000000" w:themeColor="text1"/>
          <w:u w:val="single"/>
        </w:rPr>
        <w:t xml:space="preserve">   </w:t>
      </w:r>
      <w:r>
        <w:rPr>
          <w:rStyle w:val="479"/>
          <w:rFonts w:hint="eastAsia" w:ascii="宋体" w:hAnsi="宋体" w:cs="宋体" w:eastAsiaTheme="minorEastAsia"/>
          <w:color w:val="000000" w:themeColor="text1"/>
          <w:u w:val="single"/>
        </w:rPr>
        <w:t>脚手架由发包方指定单位负责搭拆。</w:t>
      </w:r>
      <w:r>
        <w:rPr>
          <w:rStyle w:val="479"/>
          <w:rFonts w:ascii="宋体" w:hAnsi="宋体" w:eastAsia="宋体" w:cs="宋体"/>
          <w:color w:val="000000" w:themeColor="text1"/>
          <w:u w:val="single"/>
        </w:rPr>
        <w:t>     </w:t>
      </w:r>
      <w:r>
        <w:rPr>
          <w:rStyle w:val="479"/>
          <w:rFonts w:ascii="宋体" w:hAnsi="宋体" w:eastAsia="宋体" w:cs="宋体"/>
          <w:color w:val="000000" w:themeColor="text1"/>
        </w:rPr>
        <w:t xml:space="preserve">              </w:t>
      </w:r>
    </w:p>
    <w:p>
      <w:pPr>
        <w:pStyle w:val="476"/>
        <w:spacing w:before="22" w:after="22"/>
        <w:ind w:left="120" w:right="120"/>
        <w:rPr>
          <w:color w:val="000000" w:themeColor="text1"/>
          <w:lang w:eastAsia="zh-CN"/>
        </w:rPr>
      </w:pPr>
      <w:r>
        <w:rPr>
          <w:rStyle w:val="477"/>
          <w:b/>
          <w:bCs/>
          <w:color w:val="000000" w:themeColor="text1"/>
          <w:lang w:val="zh-CN" w:eastAsia="zh-CN"/>
        </w:rPr>
        <w:t>第六条  物资供应</w:t>
      </w:r>
    </w:p>
    <w:p>
      <w:pPr>
        <w:pStyle w:val="476"/>
        <w:spacing w:before="22" w:after="22"/>
        <w:ind w:left="120" w:right="120"/>
        <w:rPr>
          <w:color w:val="000000" w:themeColor="text1"/>
          <w:lang w:eastAsia="zh-CN"/>
        </w:rPr>
      </w:pPr>
      <w:r>
        <w:rPr>
          <w:rStyle w:val="479"/>
          <w:color w:val="000000" w:themeColor="text1"/>
          <w:lang w:val="zh-CN" w:eastAsia="zh-CN"/>
        </w:rPr>
        <w:t xml:space="preserve">１.甲方供应材料的范围： </w:t>
      </w:r>
      <w:r>
        <w:rPr>
          <w:color w:val="000000" w:themeColor="text1"/>
          <w:u w:val="single"/>
          <w:lang w:eastAsia="zh-CN"/>
        </w:rPr>
        <w:t>/</w:t>
      </w:r>
      <w:r>
        <w:rPr>
          <w:rStyle w:val="479"/>
          <w:color w:val="000000" w:themeColor="text1"/>
          <w:lang w:eastAsia="zh-CN"/>
        </w:rPr>
        <w:t>；甲方所供材料的运输和保管由乙方负责；自乙方甲供材料从甲方仓库或堆场领出时起，不论何种原因，如发生损坏丢失由承包人全额赔偿。</w:t>
      </w:r>
    </w:p>
    <w:p>
      <w:pPr>
        <w:pStyle w:val="476"/>
        <w:spacing w:before="22" w:after="22"/>
        <w:ind w:left="120" w:right="120"/>
        <w:rPr>
          <w:color w:val="000000" w:themeColor="text1"/>
          <w:lang w:eastAsia="zh-CN"/>
        </w:rPr>
      </w:pPr>
      <w:r>
        <w:rPr>
          <w:rStyle w:val="479"/>
          <w:color w:val="000000" w:themeColor="text1"/>
          <w:lang w:val="zh-CN" w:eastAsia="zh-CN"/>
        </w:rPr>
        <w:t>2.其他：</w:t>
      </w:r>
      <w:r>
        <w:rPr>
          <w:rStyle w:val="479"/>
          <w:rFonts w:hint="eastAsia"/>
          <w:color w:val="000000" w:themeColor="text1"/>
          <w:u w:val="single"/>
          <w:lang w:eastAsia="zh-CN"/>
        </w:rPr>
        <w:t xml:space="preserve">   /     </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3.任何一方供应的材料、设备和半成品都必须按设计文件要求和国家规定的技术标准，并应附出厂合格证、质保书和化验单。如实际材料的质量与证明不符合时，一切损失由供方一方负责。</w:t>
      </w:r>
    </w:p>
    <w:p>
      <w:pPr>
        <w:pStyle w:val="476"/>
        <w:spacing w:before="22" w:after="22"/>
        <w:ind w:left="120" w:right="120"/>
        <w:rPr>
          <w:color w:val="000000" w:themeColor="text1"/>
          <w:lang w:eastAsia="zh-CN"/>
        </w:rPr>
      </w:pPr>
      <w:r>
        <w:rPr>
          <w:rStyle w:val="477"/>
          <w:b/>
          <w:bCs/>
          <w:color w:val="000000" w:themeColor="text1"/>
          <w:lang w:val="zh-CN" w:eastAsia="zh-CN"/>
        </w:rPr>
        <w:t xml:space="preserve">第七条  双方责任 </w:t>
      </w:r>
    </w:p>
    <w:p>
      <w:pPr>
        <w:pStyle w:val="476"/>
        <w:spacing w:before="22" w:after="22"/>
        <w:ind w:left="120" w:right="120"/>
        <w:rPr>
          <w:color w:val="000000" w:themeColor="text1"/>
          <w:lang w:eastAsia="zh-CN"/>
        </w:rPr>
      </w:pPr>
      <w:r>
        <w:rPr>
          <w:rStyle w:val="479"/>
          <w:color w:val="000000" w:themeColor="text1"/>
          <w:lang w:val="zh-CN" w:eastAsia="zh-CN"/>
        </w:rPr>
        <w:t>甲方：</w:t>
      </w:r>
    </w:p>
    <w:p>
      <w:pPr>
        <w:pStyle w:val="476"/>
        <w:spacing w:before="22" w:after="22"/>
        <w:ind w:left="120" w:right="120"/>
        <w:rPr>
          <w:color w:val="000000" w:themeColor="text1"/>
          <w:lang w:eastAsia="zh-CN"/>
        </w:rPr>
      </w:pPr>
      <w:r>
        <w:rPr>
          <w:rStyle w:val="479"/>
          <w:color w:val="000000" w:themeColor="text1"/>
          <w:lang w:val="zh-CN" w:eastAsia="zh-CN"/>
        </w:rPr>
        <w:t>1.及时组织设计、技术现场交底会议，提供完整的施工图纸一式</w:t>
      </w:r>
      <w:r>
        <w:rPr>
          <w:color w:val="000000" w:themeColor="text1"/>
          <w:u w:val="single"/>
          <w:lang w:eastAsia="zh-CN"/>
        </w:rPr>
        <w:t>/</w:t>
      </w:r>
      <w:r>
        <w:rPr>
          <w:rStyle w:val="479"/>
          <w:color w:val="000000" w:themeColor="text1"/>
          <w:lang w:eastAsia="zh-CN"/>
        </w:rPr>
        <w:t>份。</w:t>
      </w:r>
    </w:p>
    <w:p>
      <w:pPr>
        <w:pStyle w:val="476"/>
        <w:spacing w:before="22" w:after="22"/>
        <w:ind w:left="120" w:right="120"/>
        <w:rPr>
          <w:color w:val="000000" w:themeColor="text1"/>
          <w:lang w:eastAsia="zh-CN"/>
        </w:rPr>
      </w:pPr>
      <w:r>
        <w:rPr>
          <w:rStyle w:val="479"/>
          <w:color w:val="000000" w:themeColor="text1"/>
          <w:lang w:val="zh-CN" w:eastAsia="zh-CN"/>
        </w:rPr>
        <w:t>2.负责施工前的准备工作，办理施工所需的手续以及必须由甲方办理的现场施工证件，及时协助乙方开具火、电票、动土票等手续。</w:t>
      </w:r>
    </w:p>
    <w:p>
      <w:pPr>
        <w:pStyle w:val="476"/>
        <w:spacing w:before="22" w:after="22"/>
        <w:ind w:left="120" w:right="120"/>
        <w:rPr>
          <w:color w:val="000000" w:themeColor="text1"/>
          <w:lang w:eastAsia="zh-CN"/>
        </w:rPr>
      </w:pPr>
      <w:r>
        <w:rPr>
          <w:rStyle w:val="479"/>
          <w:color w:val="000000" w:themeColor="text1"/>
          <w:lang w:val="zh-CN" w:eastAsia="zh-CN"/>
        </w:rPr>
        <w:t>3.甲方现场负责人：</w:t>
      </w:r>
      <w:r>
        <w:rPr>
          <w:color w:val="000000" w:themeColor="text1"/>
          <w:u w:val="single"/>
          <w:lang w:eastAsia="zh-CN"/>
        </w:rPr>
        <w:t>刘多多</w:t>
      </w:r>
      <w:r>
        <w:rPr>
          <w:rStyle w:val="479"/>
          <w:color w:val="000000" w:themeColor="text1"/>
          <w:lang w:eastAsia="zh-CN"/>
        </w:rPr>
        <w:t xml:space="preserve"> 联系方式：</w:t>
      </w:r>
      <w:r>
        <w:rPr>
          <w:color w:val="000000" w:themeColor="text1"/>
          <w:u w:val="single"/>
          <w:lang w:eastAsia="zh-CN"/>
        </w:rPr>
        <w:t>13912979127</w:t>
      </w:r>
    </w:p>
    <w:p>
      <w:pPr>
        <w:pStyle w:val="476"/>
        <w:spacing w:before="22" w:after="22"/>
        <w:ind w:left="120" w:right="120"/>
        <w:rPr>
          <w:color w:val="000000" w:themeColor="text1"/>
          <w:lang w:eastAsia="zh-CN"/>
        </w:rPr>
      </w:pPr>
      <w:r>
        <w:rPr>
          <w:rStyle w:val="479"/>
          <w:color w:val="000000" w:themeColor="text1"/>
          <w:lang w:val="zh-CN" w:eastAsia="zh-CN"/>
        </w:rPr>
        <w:t>乙方：</w:t>
      </w:r>
    </w:p>
    <w:p>
      <w:pPr>
        <w:pStyle w:val="476"/>
        <w:spacing w:before="22" w:after="22"/>
        <w:ind w:left="120" w:right="120"/>
        <w:rPr>
          <w:color w:val="000000" w:themeColor="text1"/>
          <w:lang w:eastAsia="zh-CN"/>
        </w:rPr>
      </w:pPr>
      <w:r>
        <w:rPr>
          <w:rStyle w:val="479"/>
          <w:color w:val="000000" w:themeColor="text1"/>
          <w:lang w:val="zh-CN" w:eastAsia="zh-CN"/>
        </w:rPr>
        <w:t>1.乙方有责任按照本合同的约定在确保安全的前提下，严格按图纸、技术标准、验收规范和施工组织设计、施工方案施工，确保工程质量和进度。</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2.乙方应在施工前详细编制安全、质量保证体系、施工方案和作业网络计划，统筹安排施工。如施工进度安排发生实质性调整，需提前</w:t>
      </w:r>
      <w:r>
        <w:rPr>
          <w:rStyle w:val="479"/>
          <w:rFonts w:ascii="宋体" w:hAnsi="宋体" w:eastAsia="宋体" w:cs="宋体"/>
          <w:color w:val="000000" w:themeColor="text1"/>
          <w:u w:val="single"/>
          <w:lang w:val="zh-CN"/>
        </w:rPr>
        <w:t>3</w:t>
      </w:r>
      <w:r>
        <w:rPr>
          <w:rStyle w:val="479"/>
          <w:rFonts w:ascii="宋体" w:hAnsi="宋体" w:eastAsia="宋体" w:cs="宋体"/>
          <w:color w:val="000000" w:themeColor="text1"/>
          <w:lang w:val="zh-CN"/>
        </w:rPr>
        <w:t>个</w:t>
      </w:r>
      <w:r>
        <w:rPr>
          <w:rStyle w:val="479"/>
          <w:rFonts w:ascii="宋体" w:hAnsi="宋体" w:eastAsia="宋体" w:cs="宋体"/>
          <w:color w:val="000000" w:themeColor="text1"/>
        </w:rPr>
        <w:t>工作日告知甲方，并得到甲方同意。</w:t>
      </w:r>
    </w:p>
    <w:p>
      <w:pPr>
        <w:pStyle w:val="476"/>
        <w:spacing w:before="22" w:after="22"/>
        <w:ind w:left="120" w:right="120"/>
        <w:rPr>
          <w:color w:val="000000" w:themeColor="text1"/>
          <w:lang w:eastAsia="zh-CN"/>
        </w:rPr>
      </w:pPr>
      <w:r>
        <w:rPr>
          <w:rStyle w:val="479"/>
          <w:color w:val="000000" w:themeColor="text1"/>
          <w:lang w:eastAsia="zh-CN"/>
        </w:rPr>
        <w:t>3.</w:t>
      </w:r>
      <w:r>
        <w:rPr>
          <w:rStyle w:val="479"/>
          <w:color w:val="000000" w:themeColor="text1"/>
          <w:lang w:val="zh-CN" w:eastAsia="zh-CN"/>
        </w:rPr>
        <w:t>乙方在检修过程中，要认真检查设备缺陷，对发现的缺陷要及时向甲方汇报，并积极配合甲方做好消缺工作。</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4.乙方要切实抓好工作量的签证工作。项目检修施工完工后，要求乙方在</w:t>
      </w:r>
      <w:r>
        <w:rPr>
          <w:rStyle w:val="479"/>
          <w:rFonts w:ascii="宋体" w:hAnsi="宋体" w:eastAsia="宋体" w:cs="宋体"/>
          <w:color w:val="000000" w:themeColor="text1"/>
          <w:u w:val="single"/>
          <w:lang w:val="zh-CN"/>
        </w:rPr>
        <w:t xml:space="preserve"> 7 </w:t>
      </w:r>
      <w:r>
        <w:rPr>
          <w:rStyle w:val="479"/>
          <w:rFonts w:ascii="宋体" w:hAnsi="宋体" w:eastAsia="宋体" w:cs="宋体"/>
          <w:color w:val="000000" w:themeColor="text1"/>
        </w:rPr>
        <w:t>天内完成工作量的确认签证工作，超期未签证的工作量，原则上甲方不予结算。</w:t>
      </w:r>
    </w:p>
    <w:p>
      <w:pPr>
        <w:spacing w:before="22"/>
        <w:ind w:left="120" w:right="120"/>
        <w:rPr>
          <w:rFonts w:ascii="宋体" w:hAnsi="宋体" w:eastAsia="宋体" w:cs="宋体"/>
          <w:color w:val="000000" w:themeColor="text1"/>
        </w:rPr>
      </w:pPr>
      <w:r>
        <w:rPr>
          <w:rStyle w:val="479"/>
          <w:rFonts w:ascii="宋体" w:hAnsi="宋体" w:eastAsia="宋体" w:cs="宋体"/>
          <w:color w:val="000000" w:themeColor="text1"/>
          <w:lang w:val="zh-CN"/>
        </w:rPr>
        <w:t>施工结束后一个月内提交施工图预(结)算书，同时提供完整的竣工验收技术资料一式</w:t>
      </w:r>
      <w:r>
        <w:rPr>
          <w:rStyle w:val="479"/>
          <w:rFonts w:ascii="宋体" w:hAnsi="宋体" w:eastAsia="宋体" w:cs="宋体"/>
          <w:color w:val="000000" w:themeColor="text1"/>
          <w:u w:val="single"/>
          <w:lang w:val="zh-CN"/>
        </w:rPr>
        <w:t>1</w:t>
      </w:r>
      <w:r>
        <w:rPr>
          <w:rStyle w:val="479"/>
          <w:rFonts w:ascii="宋体" w:hAnsi="宋体" w:eastAsia="宋体" w:cs="宋体"/>
          <w:color w:val="000000" w:themeColor="text1"/>
          <w:lang w:val="zh-CN"/>
        </w:rPr>
        <w:t>份</w:t>
      </w:r>
      <w:r>
        <w:rPr>
          <w:rStyle w:val="483"/>
          <w:rFonts w:ascii="宋体" w:hAnsi="宋体" w:eastAsia="宋体" w:cs="宋体"/>
          <w:color w:val="000000" w:themeColor="text1"/>
          <w:u w:val="single"/>
        </w:rPr>
        <w:t>，如未及时提交预（结）算书和竣工资料影响甲方生产、管理的，乙方应承担合同结算款__10__%的违约金</w:t>
      </w:r>
      <w:r>
        <w:rPr>
          <w:rStyle w:val="479"/>
          <w:rFonts w:ascii="宋体" w:hAnsi="宋体" w:eastAsia="宋体" w:cs="宋体"/>
          <w:color w:val="000000" w:themeColor="text1"/>
        </w:rPr>
        <w:t>。</w:t>
      </w:r>
    </w:p>
    <w:p>
      <w:pPr>
        <w:pStyle w:val="476"/>
        <w:spacing w:before="22" w:after="22"/>
        <w:ind w:left="120" w:right="120"/>
        <w:rPr>
          <w:color w:val="000000" w:themeColor="text1"/>
          <w:lang w:eastAsia="zh-CN"/>
        </w:rPr>
      </w:pPr>
      <w:r>
        <w:rPr>
          <w:rStyle w:val="479"/>
          <w:color w:val="000000" w:themeColor="text1"/>
          <w:lang w:val="zh-CN" w:eastAsia="zh-CN"/>
        </w:rPr>
        <w:t xml:space="preserve">5.乙方应实行文明检修，现场工机具摆放整齐，做到工完料尽场地清，检修所拆下的设备、管道、配件及构件等，运输至甲方指定的装置区地点堆放（不另计运费）。 </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6.乙方接到配合试车的通知后，应</w:t>
      </w:r>
      <w:r>
        <w:rPr>
          <w:rStyle w:val="479"/>
          <w:rFonts w:ascii="宋体" w:hAnsi="宋体" w:eastAsia="宋体" w:cs="宋体"/>
          <w:color w:val="000000" w:themeColor="text1"/>
          <w:u w:val="single"/>
          <w:lang w:val="zh-CN"/>
        </w:rPr>
        <w:t>立即</w:t>
      </w:r>
      <w:r>
        <w:rPr>
          <w:rStyle w:val="479"/>
          <w:rFonts w:ascii="宋体" w:hAnsi="宋体" w:eastAsia="宋体" w:cs="宋体"/>
          <w:color w:val="000000" w:themeColor="text1"/>
          <w:lang w:val="zh-CN"/>
        </w:rPr>
        <w:t>到现场配合甲方进行，并由乙方作好试车记录。</w:t>
      </w:r>
    </w:p>
    <w:p>
      <w:pPr>
        <w:pStyle w:val="476"/>
        <w:spacing w:before="22" w:after="22"/>
        <w:ind w:left="120" w:right="120"/>
        <w:rPr>
          <w:color w:val="000000" w:themeColor="text1"/>
          <w:lang w:eastAsia="zh-CN"/>
        </w:rPr>
      </w:pPr>
      <w:r>
        <w:rPr>
          <w:rStyle w:val="479"/>
          <w:color w:val="000000" w:themeColor="text1"/>
          <w:lang w:val="zh-CN" w:eastAsia="zh-CN"/>
        </w:rPr>
        <w:t>项目负责人：</w:t>
      </w:r>
      <w:r>
        <w:rPr>
          <w:rFonts w:hint="eastAsia"/>
          <w:color w:val="000000" w:themeColor="text1"/>
          <w:u w:val="single"/>
          <w:lang w:eastAsia="zh-CN"/>
        </w:rPr>
        <w:t xml:space="preserve">       </w:t>
      </w:r>
      <w:r>
        <w:rPr>
          <w:rStyle w:val="479"/>
          <w:color w:val="000000" w:themeColor="text1"/>
          <w:lang w:eastAsia="zh-CN"/>
        </w:rPr>
        <w:t>电话：</w:t>
      </w:r>
      <w:r>
        <w:rPr>
          <w:rFonts w:hint="eastAsia"/>
          <w:color w:val="000000" w:themeColor="text1"/>
          <w:u w:val="single"/>
          <w:lang w:eastAsia="zh-CN"/>
        </w:rPr>
        <w:t xml:space="preserve">            </w:t>
      </w:r>
      <w:r>
        <w:rPr>
          <w:rStyle w:val="479"/>
          <w:color w:val="000000" w:themeColor="text1"/>
          <w:lang w:eastAsia="zh-CN"/>
        </w:rPr>
        <w:t>安全负责人：</w:t>
      </w:r>
      <w:r>
        <w:rPr>
          <w:rFonts w:hint="eastAsia"/>
          <w:color w:val="000000" w:themeColor="text1"/>
          <w:u w:val="single"/>
          <w:lang w:eastAsia="zh-CN"/>
        </w:rPr>
        <w:t xml:space="preserve">            </w:t>
      </w:r>
      <w:r>
        <w:rPr>
          <w:rStyle w:val="479"/>
          <w:color w:val="000000" w:themeColor="text1"/>
          <w:lang w:eastAsia="zh-CN"/>
        </w:rPr>
        <w:t>电话：</w:t>
      </w:r>
      <w:r>
        <w:rPr>
          <w:rFonts w:hint="eastAsia"/>
          <w:color w:val="000000" w:themeColor="text1"/>
          <w:u w:val="single"/>
          <w:lang w:eastAsia="zh-CN"/>
        </w:rPr>
        <w:t xml:space="preserve">           </w:t>
      </w:r>
    </w:p>
    <w:p>
      <w:pPr>
        <w:pStyle w:val="476"/>
        <w:spacing w:before="22" w:after="22"/>
        <w:ind w:left="120" w:right="120"/>
        <w:rPr>
          <w:color w:val="000000" w:themeColor="text1"/>
          <w:lang w:eastAsia="zh-CN"/>
        </w:rPr>
      </w:pPr>
      <w:r>
        <w:rPr>
          <w:rStyle w:val="479"/>
          <w:color w:val="000000" w:themeColor="text1"/>
          <w:lang w:val="zh-CN" w:eastAsia="zh-CN"/>
        </w:rPr>
        <w:t>质量负责人：</w:t>
      </w:r>
      <w:r>
        <w:rPr>
          <w:rFonts w:hint="eastAsia"/>
          <w:color w:val="000000" w:themeColor="text1"/>
          <w:u w:val="single"/>
          <w:lang w:eastAsia="zh-CN"/>
        </w:rPr>
        <w:t xml:space="preserve">        </w:t>
      </w:r>
      <w:r>
        <w:rPr>
          <w:rStyle w:val="479"/>
          <w:color w:val="000000" w:themeColor="text1"/>
          <w:lang w:eastAsia="zh-CN"/>
        </w:rPr>
        <w:t>电话：</w:t>
      </w:r>
      <w:r>
        <w:rPr>
          <w:rFonts w:hint="eastAsia"/>
          <w:color w:val="000000" w:themeColor="text1"/>
          <w:u w:val="single"/>
          <w:lang w:eastAsia="zh-CN"/>
        </w:rPr>
        <w:t xml:space="preserve">                </w:t>
      </w:r>
      <w:r>
        <w:rPr>
          <w:rStyle w:val="479"/>
          <w:color w:val="000000" w:themeColor="text1"/>
          <w:lang w:eastAsia="zh-CN"/>
        </w:rPr>
        <w:t>施工负责人：</w:t>
      </w:r>
      <w:r>
        <w:rPr>
          <w:rFonts w:hint="eastAsia"/>
          <w:color w:val="000000" w:themeColor="text1"/>
          <w:u w:val="single"/>
          <w:lang w:eastAsia="zh-CN"/>
        </w:rPr>
        <w:t xml:space="preserve">          </w:t>
      </w:r>
      <w:r>
        <w:rPr>
          <w:rStyle w:val="479"/>
          <w:color w:val="000000" w:themeColor="text1"/>
          <w:lang w:eastAsia="zh-CN"/>
        </w:rPr>
        <w:t>电话：</w:t>
      </w:r>
      <w:r>
        <w:rPr>
          <w:rFonts w:hint="eastAsia"/>
          <w:color w:val="000000" w:themeColor="text1"/>
          <w:u w:val="single"/>
          <w:lang w:eastAsia="zh-CN"/>
        </w:rPr>
        <w:t xml:space="preserve">           </w:t>
      </w:r>
    </w:p>
    <w:p>
      <w:pPr>
        <w:pStyle w:val="476"/>
        <w:spacing w:before="22" w:after="22"/>
        <w:ind w:left="120" w:right="120"/>
        <w:rPr>
          <w:color w:val="000000" w:themeColor="text1"/>
          <w:lang w:eastAsia="zh-CN"/>
        </w:rPr>
      </w:pPr>
      <w:r>
        <w:rPr>
          <w:rStyle w:val="479"/>
          <w:color w:val="000000" w:themeColor="text1"/>
          <w:lang w:val="zh-CN" w:eastAsia="zh-CN"/>
        </w:rPr>
        <w:t>以上乙方现场有关负责人必须取得国家相关法律法规要求的相应资质，一经双方确定，不得擅自更改，如须更改必须经书面提请甲方或监理同意，并办理相关交接手续后方可更换。</w:t>
      </w:r>
    </w:p>
    <w:p>
      <w:pPr>
        <w:pStyle w:val="476"/>
        <w:spacing w:before="22" w:after="22"/>
        <w:ind w:left="120" w:right="120"/>
        <w:rPr>
          <w:color w:val="000000" w:themeColor="text1"/>
          <w:lang w:eastAsia="zh-CN"/>
        </w:rPr>
      </w:pPr>
      <w:r>
        <w:rPr>
          <w:rStyle w:val="479"/>
          <w:color w:val="000000" w:themeColor="text1"/>
          <w:lang w:val="zh-CN" w:eastAsia="zh-CN"/>
        </w:rPr>
        <w:t>7.乙方参与施工人员的业务技能必须与项目相适应，施工机械和工器具必须符合现场使用要求；开工前，乙方将参与施工的人员工种和技能等级建档，报甲方或监理单位审核，关键工种可安排现场考核；施工机械和工器具进场前，乙方必须经自检合格，报甲方验收合格后，粘贴施工机械和工具合格证方可入场。</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8.乙方进行专业分包和劳务分包时必须按下列规定执行：</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1）乙方分包必须符合国家法律法规和中石化相关规定，禁止转包和违法违规分包，禁止以劳务分包名义进行专业分包；乙方和分包单位签订分包合同时，必须经甲方或监理单位审批，并将分包合同送甲方和监理单位备案；实施分包的检修项目安全责任不应分包，如乙方和分包单位要变更安全职责或合同内容，必须重新签订分包合同，并报送甲方备案。脚手架和大型特殊装备的吊装作业，甲乙双方共同协商确定发包方式。</w:t>
      </w:r>
    </w:p>
    <w:p>
      <w:pPr>
        <w:spacing w:before="22" w:after="22"/>
        <w:ind w:left="120" w:right="120"/>
        <w:rPr>
          <w:rFonts w:ascii="宋体" w:hAnsi="宋体" w:eastAsia="宋体" w:cs="宋体"/>
          <w:color w:val="000000" w:themeColor="text1"/>
        </w:rPr>
      </w:pPr>
      <w:r>
        <w:rPr>
          <w:color w:val="000000" w:themeColor="text1"/>
          <w:u w:val="single"/>
        </w:rPr>
        <w:t>（2）</w:t>
      </w:r>
      <w:r>
        <w:rPr>
          <w:rFonts w:ascii="宋体" w:hAnsi="宋体" w:eastAsia="宋体" w:cs="宋体"/>
          <w:color w:val="000000" w:themeColor="text1"/>
          <w:u w:val="single"/>
        </w:rPr>
        <w:t>乙方进行专业分包时，不得扣减安全防护措施费和脚手架费用；乙方对脚手架单独分包时，不得以管理费等任何理由扣减任何费用。</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3）乙方进行劳务分包时，施工现场管理机构必须由乙方人员组建，技术文件由乙方负责编制，劳动保护用品由乙方负责提供；乙方负责审查劳务分包单位相应劳务资质，参与施工的劳务人员业务技能必须与项目相适应，关键工种不得使用临时工或零星用工；乙方负责对劳务人员中特种作业人员和特种设备人员进行培训、考评，并报甲方备查；乙方负责将劳务人员的身份证复印件、特种作业操作证和特种设备作业人员证或上岗证复印件建档，并报送甲方备查。</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9.开工前，乙方必须提交项目现场的危险性较大的分部分项工程和超过一定规模的危险性较大分部分项工程清单。</w:t>
      </w:r>
    </w:p>
    <w:p>
      <w:pPr>
        <w:pStyle w:val="476"/>
        <w:spacing w:before="22" w:after="22"/>
        <w:ind w:left="120" w:right="120"/>
        <w:rPr>
          <w:color w:val="000000" w:themeColor="text1"/>
          <w:lang w:eastAsia="zh-CN"/>
        </w:rPr>
      </w:pPr>
      <w:r>
        <w:rPr>
          <w:rStyle w:val="477"/>
          <w:b/>
          <w:bCs/>
          <w:color w:val="000000" w:themeColor="text1"/>
          <w:lang w:val="zh-CN" w:eastAsia="zh-CN"/>
        </w:rPr>
        <w:t>第八条   HSE责任</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双方在履行合同中应遵守质量、安全、环境与健康等法律法规的有关要求，并承担质量、安全、环境与健康责任且符合中国石化相关HSE要求</w:t>
      </w:r>
      <w:r>
        <w:rPr>
          <w:rStyle w:val="479"/>
          <w:rFonts w:ascii="宋体" w:hAnsi="宋体" w:eastAsia="宋体" w:cs="宋体"/>
          <w:color w:val="000000" w:themeColor="text1"/>
          <w:u w:val="single"/>
          <w:lang w:val="zh-CN"/>
        </w:rPr>
        <w:t>，详细要求见本合同的安全合同</w:t>
      </w:r>
      <w:r>
        <w:rPr>
          <w:rStyle w:val="479"/>
          <w:rFonts w:ascii="宋体" w:hAnsi="宋体" w:eastAsia="宋体" w:cs="宋体"/>
          <w:color w:val="000000" w:themeColor="text1"/>
          <w:lang w:val="zh-CN"/>
        </w:rPr>
        <w:t>。</w:t>
      </w:r>
    </w:p>
    <w:p>
      <w:pPr>
        <w:pStyle w:val="476"/>
        <w:spacing w:before="22" w:after="22"/>
        <w:ind w:left="120" w:right="120"/>
        <w:rPr>
          <w:color w:val="000000" w:themeColor="text1"/>
          <w:lang w:eastAsia="zh-CN"/>
        </w:rPr>
      </w:pPr>
      <w:r>
        <w:rPr>
          <w:rStyle w:val="477"/>
          <w:b/>
          <w:bCs/>
          <w:color w:val="000000" w:themeColor="text1"/>
          <w:lang w:val="zh-CN" w:eastAsia="zh-CN"/>
        </w:rPr>
        <w:t>第九条  工程质量标准及交工验收</w:t>
      </w:r>
    </w:p>
    <w:p>
      <w:pPr>
        <w:pStyle w:val="476"/>
        <w:spacing w:before="22" w:after="22"/>
        <w:ind w:left="120" w:right="120"/>
        <w:rPr>
          <w:color w:val="000000" w:themeColor="text1"/>
          <w:lang w:eastAsia="zh-CN"/>
        </w:rPr>
      </w:pPr>
      <w:r>
        <w:rPr>
          <w:rStyle w:val="479"/>
          <w:color w:val="000000" w:themeColor="text1"/>
          <w:lang w:val="zh-CN" w:eastAsia="zh-CN"/>
        </w:rPr>
        <w:t xml:space="preserve">1.工程质量标准：按中国石化集团公司 “工程建设施工标准规范汇编”和国家现行的“建筑安装工程施工及验收规范”、“质量检验评定标准”以及施工图纸、设备说明书等有关规定。 </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2.隐蔽工程交工验收：隐蔽工程在隐蔽前</w:t>
      </w:r>
      <w:r>
        <w:rPr>
          <w:rFonts w:ascii="宋体" w:hAnsi="宋体" w:eastAsia="宋体" w:cs="宋体"/>
          <w:color w:val="000000" w:themeColor="text1"/>
          <w:u w:val="single"/>
        </w:rPr>
        <w:t>2</w:t>
      </w:r>
      <w:r>
        <w:rPr>
          <w:rStyle w:val="479"/>
          <w:rFonts w:ascii="宋体" w:hAnsi="宋体" w:eastAsia="宋体" w:cs="宋体"/>
          <w:color w:val="000000" w:themeColor="text1"/>
        </w:rPr>
        <w:t>天乙方应书面通知甲方，甲方负责组织有关人员及时到现场检查，合格后及时办理隐蔽工程验收手续。</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3.工程竣工验收：乙方在工程竣工前</w:t>
      </w:r>
      <w:r>
        <w:rPr>
          <w:rFonts w:ascii="宋体" w:hAnsi="宋体" w:eastAsia="宋体" w:cs="宋体"/>
          <w:color w:val="000000" w:themeColor="text1"/>
          <w:u w:val="single"/>
        </w:rPr>
        <w:t>2</w:t>
      </w:r>
      <w:r>
        <w:rPr>
          <w:rStyle w:val="479"/>
          <w:rFonts w:ascii="宋体" w:hAnsi="宋体" w:eastAsia="宋体" w:cs="宋体"/>
          <w:color w:val="000000" w:themeColor="text1"/>
          <w:lang w:val="zh-CN"/>
        </w:rPr>
        <w:t>天应将验收日期通知甲方届时验收，甲方接到乙方的书面通知后</w:t>
      </w:r>
      <w:r>
        <w:rPr>
          <w:rFonts w:ascii="宋体" w:hAnsi="宋体" w:eastAsia="宋体" w:cs="宋体"/>
          <w:color w:val="000000" w:themeColor="text1"/>
          <w:u w:val="single"/>
        </w:rPr>
        <w:t>3</w:t>
      </w:r>
      <w:r>
        <w:rPr>
          <w:rStyle w:val="479"/>
          <w:rFonts w:ascii="宋体" w:hAnsi="宋体" w:eastAsia="宋体" w:cs="宋体"/>
          <w:color w:val="000000" w:themeColor="text1"/>
        </w:rPr>
        <w:t>天内组织验收，合格后及时签署办妥交工验收证书和工程竣工资料验收手续。</w:t>
      </w:r>
    </w:p>
    <w:p>
      <w:pPr>
        <w:pStyle w:val="476"/>
        <w:spacing w:before="22" w:after="22"/>
        <w:ind w:left="120" w:right="120"/>
        <w:rPr>
          <w:color w:val="000000" w:themeColor="text1"/>
          <w:lang w:eastAsia="zh-CN"/>
        </w:rPr>
      </w:pPr>
      <w:r>
        <w:rPr>
          <w:rStyle w:val="477"/>
          <w:b/>
          <w:bCs/>
          <w:color w:val="000000" w:themeColor="text1"/>
          <w:lang w:val="zh-CN" w:eastAsia="zh-CN"/>
        </w:rPr>
        <w:t>第十条  质量负责的期限和条件执行以下执行：</w:t>
      </w:r>
    </w:p>
    <w:p>
      <w:pPr>
        <w:pStyle w:val="476"/>
        <w:spacing w:before="22" w:after="22"/>
        <w:ind w:left="120" w:right="120"/>
        <w:rPr>
          <w:color w:val="000000" w:themeColor="text1"/>
          <w:lang w:eastAsia="zh-CN"/>
        </w:rPr>
      </w:pPr>
      <w:r>
        <w:rPr>
          <w:rStyle w:val="479"/>
          <w:color w:val="000000" w:themeColor="text1"/>
          <w:lang w:val="zh-CN" w:eastAsia="zh-CN"/>
        </w:rPr>
        <w:t>本工程质保期为</w:t>
      </w:r>
      <w:r>
        <w:rPr>
          <w:color w:val="000000" w:themeColor="text1"/>
          <w:u w:val="single"/>
          <w:lang w:eastAsia="zh-CN"/>
        </w:rPr>
        <w:t>防水工程质保期5年，其余</w:t>
      </w:r>
      <w:r>
        <w:rPr>
          <w:rFonts w:hint="eastAsia"/>
          <w:color w:val="000000" w:themeColor="text1"/>
          <w:u w:val="single"/>
          <w:lang w:eastAsia="zh-CN"/>
        </w:rPr>
        <w:t>1</w:t>
      </w:r>
      <w:r>
        <w:rPr>
          <w:color w:val="000000" w:themeColor="text1"/>
          <w:u w:val="single"/>
          <w:lang w:eastAsia="zh-CN"/>
        </w:rPr>
        <w:t>年</w:t>
      </w:r>
      <w:r>
        <w:rPr>
          <w:rStyle w:val="479"/>
          <w:color w:val="000000" w:themeColor="text1"/>
          <w:lang w:eastAsia="zh-CN"/>
        </w:rPr>
        <w:t>，质保期内出现质量问题，施工单位应负责免费返修。</w:t>
      </w:r>
    </w:p>
    <w:p>
      <w:pPr>
        <w:pStyle w:val="476"/>
        <w:spacing w:before="22" w:after="22"/>
        <w:ind w:left="120" w:right="120"/>
        <w:rPr>
          <w:vanish/>
          <w:color w:val="000000" w:themeColor="text1"/>
        </w:rPr>
      </w:pPr>
      <w:r>
        <w:rPr>
          <w:rStyle w:val="479"/>
          <w:vanish/>
          <w:color w:val="000000" w:themeColor="text1"/>
          <w:lang w:val="zh-CN" w:eastAsia="zh-CN"/>
        </w:rPr>
        <w:t>其他：</w:t>
      </w:r>
    </w:p>
    <w:p>
      <w:pPr>
        <w:pStyle w:val="476"/>
        <w:spacing w:before="22" w:after="22"/>
        <w:ind w:left="120" w:right="120"/>
        <w:rPr>
          <w:color w:val="000000" w:themeColor="text1"/>
          <w:lang w:eastAsia="zh-CN"/>
        </w:rPr>
      </w:pPr>
      <w:r>
        <w:rPr>
          <w:rStyle w:val="477"/>
          <w:b/>
          <w:bCs/>
          <w:color w:val="000000" w:themeColor="text1"/>
          <w:lang w:val="zh-CN" w:eastAsia="zh-CN"/>
        </w:rPr>
        <w:t>第十一条  违约责任及违约救济</w:t>
      </w:r>
    </w:p>
    <w:p>
      <w:pPr>
        <w:pStyle w:val="476"/>
        <w:spacing w:before="22" w:after="22"/>
        <w:ind w:left="120" w:right="120"/>
        <w:rPr>
          <w:color w:val="000000" w:themeColor="text1"/>
          <w:lang w:eastAsia="zh-CN"/>
        </w:rPr>
      </w:pPr>
      <w:r>
        <w:rPr>
          <w:rStyle w:val="477"/>
          <w:color w:val="000000" w:themeColor="text1"/>
          <w:lang w:val="zh-CN" w:eastAsia="zh-CN"/>
        </w:rPr>
        <w:t>一、违约责任：</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1.乙方不能按照合同约定的技术标准、设计图纸竣工验收的，应当无偿返工修理，承担工程总价款10%的违约金并赔偿因此造成的损失。</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2.因乙方原因造成工期拖延，乙方应向甲方支付延期交付工程项目总价款1%/日的违约金；对甲方生产造成影响的，乙方应按每延误计划时间支付工程总价款10%的违约金；</w:t>
      </w:r>
      <w:r>
        <w:rPr>
          <w:rStyle w:val="479"/>
          <w:rFonts w:ascii="宋体" w:hAnsi="宋体" w:eastAsia="宋体" w:cs="宋体"/>
          <w:color w:val="000000" w:themeColor="text1"/>
          <w:lang w:val="zh-CN"/>
        </w:rPr>
        <w:t xml:space="preserve"> </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3.如发现乙方对工程进行转包或以分包名义分拆转包或未经甲方同意进行分包，乙方应当向甲方支付工程总价款10%违约金，甲方同时有权单方解除与乙方签订的本合同。</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u w:val="single"/>
          <w:lang w:val="zh-CN"/>
        </w:rPr>
        <w:t>4.</w:t>
      </w:r>
      <w:r>
        <w:rPr>
          <w:rStyle w:val="479"/>
          <w:rFonts w:ascii="宋体" w:hAnsi="宋体" w:eastAsia="宋体" w:cs="宋体"/>
          <w:color w:val="000000" w:themeColor="text1"/>
          <w:lang w:val="zh-CN"/>
        </w:rPr>
        <w:t>本合同签订后，除不可抗力外，双方务必严格遵守，全面履行，不得单方任意变更。除本条明确的上述违约责任外，违反本合同约定的由违约方向守约方支付合同总价款</w:t>
      </w:r>
      <w:r>
        <w:rPr>
          <w:rFonts w:ascii="宋体" w:hAnsi="宋体" w:eastAsia="宋体" w:cs="宋体"/>
          <w:color w:val="000000" w:themeColor="text1"/>
          <w:u w:val="single"/>
        </w:rPr>
        <w:t>10</w:t>
      </w:r>
      <w:r>
        <w:rPr>
          <w:rStyle w:val="479"/>
          <w:rFonts w:ascii="宋体" w:hAnsi="宋体" w:eastAsia="宋体" w:cs="宋体"/>
          <w:color w:val="000000" w:themeColor="text1"/>
        </w:rPr>
        <w:t>%的违约金。</w:t>
      </w:r>
    </w:p>
    <w:p>
      <w:pPr>
        <w:spacing w:before="22" w:after="22"/>
        <w:ind w:left="120" w:right="120"/>
        <w:rPr>
          <w:rFonts w:ascii="宋体" w:hAnsi="宋体" w:eastAsia="宋体" w:cs="宋体"/>
          <w:color w:val="000000" w:themeColor="text1"/>
        </w:rPr>
      </w:pPr>
      <w:r>
        <w:rPr>
          <w:rFonts w:ascii="宋体" w:hAnsi="宋体" w:eastAsia="宋体" w:cs="宋体"/>
          <w:color w:val="000000" w:themeColor="text1"/>
          <w:u w:val="single"/>
        </w:rPr>
        <w:t>5.乙方不按时工作量签证或不及时决算，按《南化公司委外检修项目管理实施细则》处罚。</w:t>
      </w:r>
    </w:p>
    <w:p>
      <w:pPr>
        <w:pStyle w:val="476"/>
        <w:spacing w:before="22" w:after="22"/>
        <w:ind w:left="120" w:right="120"/>
        <w:rPr>
          <w:color w:val="000000" w:themeColor="text1"/>
          <w:lang w:eastAsia="zh-CN"/>
        </w:rPr>
      </w:pPr>
      <w:r>
        <w:rPr>
          <w:rStyle w:val="479"/>
          <w:color w:val="000000" w:themeColor="text1"/>
          <w:lang w:val="zh-CN" w:eastAsia="zh-CN"/>
        </w:rPr>
        <w:t>二、违约救济条款</w:t>
      </w:r>
    </w:p>
    <w:p>
      <w:pPr>
        <w:pStyle w:val="476"/>
        <w:spacing w:before="22" w:after="22"/>
        <w:ind w:left="120" w:right="120"/>
        <w:rPr>
          <w:color w:val="000000" w:themeColor="text1"/>
          <w:lang w:eastAsia="zh-CN"/>
        </w:rPr>
      </w:pPr>
      <w:r>
        <w:rPr>
          <w:rStyle w:val="479"/>
          <w:color w:val="000000" w:themeColor="text1"/>
          <w:lang w:val="zh-CN" w:eastAsia="zh-CN"/>
        </w:rPr>
        <w:t>如果合同一方未能履行其在本合同项下的合规义务，守约方可书面通知违约方并要求违约方在收到该通知之日起三十（</w:t>
      </w:r>
      <w:r>
        <w:rPr>
          <w:rStyle w:val="484"/>
          <w:color w:val="000000" w:themeColor="text1"/>
          <w:lang w:eastAsia="zh-CN"/>
        </w:rPr>
        <w:t>30</w:t>
      </w:r>
      <w:r>
        <w:rPr>
          <w:rStyle w:val="479"/>
          <w:color w:val="000000" w:themeColor="text1"/>
          <w:lang w:val="zh-CN" w:eastAsia="zh-CN"/>
        </w:rPr>
        <w:t>）日内对该违约予以补救。如果该违约无法补救，或未能在规定时间内予以补救，守约方有权解除合同。因违约方的违约行为导致守约方承担责任或遭受损失，守约方有权要求违约方给予经济赔偿。</w:t>
      </w:r>
    </w:p>
    <w:p>
      <w:pPr>
        <w:pStyle w:val="476"/>
        <w:spacing w:before="22" w:after="22"/>
        <w:ind w:left="120" w:right="120"/>
        <w:rPr>
          <w:color w:val="000000" w:themeColor="text1"/>
          <w:lang w:eastAsia="zh-CN"/>
        </w:rPr>
      </w:pPr>
      <w:r>
        <w:rPr>
          <w:rStyle w:val="477"/>
          <w:b/>
          <w:bCs/>
          <w:color w:val="000000" w:themeColor="text1"/>
          <w:lang w:val="zh-CN" w:eastAsia="zh-CN"/>
        </w:rPr>
        <w:t>第十二条 合规条款</w:t>
      </w:r>
    </w:p>
    <w:p>
      <w:pPr>
        <w:pStyle w:val="476"/>
        <w:spacing w:before="22" w:after="22"/>
        <w:ind w:left="120" w:right="120"/>
        <w:rPr>
          <w:color w:val="000000" w:themeColor="text1"/>
          <w:lang w:eastAsia="zh-CN"/>
        </w:rPr>
      </w:pPr>
      <w:r>
        <w:rPr>
          <w:rStyle w:val="479"/>
          <w:color w:val="000000" w:themeColor="text1"/>
          <w:lang w:val="zh-CN" w:eastAsia="zh-CN"/>
        </w:rPr>
        <w:t>1.通用条款</w:t>
      </w:r>
    </w:p>
    <w:p>
      <w:pPr>
        <w:pStyle w:val="476"/>
        <w:spacing w:before="22" w:after="22"/>
        <w:ind w:left="120" w:right="120"/>
        <w:rPr>
          <w:color w:val="000000" w:themeColor="text1"/>
          <w:lang w:eastAsia="zh-CN"/>
        </w:rPr>
      </w:pPr>
      <w:r>
        <w:rPr>
          <w:rStyle w:val="479"/>
          <w:color w:val="000000" w:themeColor="text1"/>
          <w:lang w:val="zh-CN" w:eastAsia="zh-CN"/>
        </w:rPr>
        <w:t>合同各方保证其根据其成立地的法律依法定程序设立，有效存在且相关手续完备，已取得开展合同项下业务所需的所有政府审批、许可或资质；合同各方知晓并将严格遵守与执行本合同相关的法律法规、监管规则、标准规范，依法依规行使合同权利，履行合同义务，不得从事任何可能导致合同方承担任何行政、刑事责任或处罚的行为。</w:t>
      </w:r>
    </w:p>
    <w:p>
      <w:pPr>
        <w:pStyle w:val="476"/>
        <w:spacing w:before="22" w:after="22"/>
        <w:ind w:left="120" w:right="120"/>
        <w:rPr>
          <w:color w:val="000000" w:themeColor="text1"/>
          <w:lang w:eastAsia="zh-CN"/>
        </w:rPr>
      </w:pPr>
      <w:r>
        <w:rPr>
          <w:rStyle w:val="477"/>
          <w:b/>
          <w:bCs/>
          <w:color w:val="000000" w:themeColor="text1"/>
          <w:lang w:val="zh-CN" w:eastAsia="zh-CN"/>
        </w:rPr>
        <w:t>第十三条  争议解决方式</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lang w:val="zh-CN"/>
        </w:rPr>
        <w:t>在合同履行过程中发生的任何纠纷，应首先通过协商解决；协商不成，双方均属于中国石化系统内的提交中国石化内部纠纷调解机构调解。一方属于中国石化系统外（含改制企业）的向</w:t>
      </w:r>
      <w:r>
        <w:rPr>
          <w:rStyle w:val="479"/>
          <w:rFonts w:ascii="宋体" w:hAnsi="宋体" w:eastAsia="宋体" w:cs="宋体"/>
          <w:color w:val="000000" w:themeColor="text1"/>
          <w:u w:val="single"/>
          <w:lang w:val="zh-CN"/>
        </w:rPr>
        <w:t>南京市江北新区人民法院</w:t>
      </w:r>
      <w:r>
        <w:rPr>
          <w:rStyle w:val="479"/>
          <w:rFonts w:ascii="宋体" w:hAnsi="宋体" w:eastAsia="宋体" w:cs="宋体"/>
          <w:color w:val="000000" w:themeColor="text1"/>
          <w:lang w:val="zh-CN"/>
        </w:rPr>
        <w:t>起诉。</w:t>
      </w:r>
      <w:r>
        <w:rPr>
          <w:rStyle w:val="485"/>
          <w:rFonts w:ascii="宋体" w:hAnsi="宋体" w:eastAsia="宋体" w:cs="宋体"/>
          <w:color w:val="000000" w:themeColor="text1"/>
        </w:rPr>
        <w:t xml:space="preserve"> </w:t>
      </w:r>
    </w:p>
    <w:p>
      <w:pPr>
        <w:pStyle w:val="476"/>
        <w:spacing w:before="22" w:after="22"/>
        <w:ind w:left="120" w:right="120"/>
        <w:rPr>
          <w:color w:val="000000" w:themeColor="text1"/>
          <w:lang w:eastAsia="zh-CN"/>
        </w:rPr>
      </w:pPr>
      <w:r>
        <w:rPr>
          <w:rStyle w:val="477"/>
          <w:b/>
          <w:bCs/>
          <w:color w:val="000000" w:themeColor="text1"/>
          <w:lang w:val="zh-CN" w:eastAsia="zh-CN"/>
        </w:rPr>
        <w:t>第十四条  其他</w:t>
      </w:r>
    </w:p>
    <w:p>
      <w:pPr>
        <w:pStyle w:val="476"/>
        <w:spacing w:before="22" w:after="22"/>
        <w:ind w:left="120" w:right="120"/>
        <w:rPr>
          <w:color w:val="000000" w:themeColor="text1"/>
          <w:lang w:eastAsia="zh-CN"/>
        </w:rPr>
      </w:pPr>
      <w:r>
        <w:rPr>
          <w:rStyle w:val="479"/>
          <w:color w:val="000000" w:themeColor="text1"/>
          <w:lang w:val="zh-CN" w:eastAsia="zh-CN"/>
        </w:rPr>
        <w:t>1.本合同所涉及甲方企业内部规章制度，乙方在签署前已全面了解并承诺遵照执行。</w:t>
      </w:r>
    </w:p>
    <w:p>
      <w:pPr>
        <w:pStyle w:val="476"/>
        <w:spacing w:before="22" w:after="22"/>
        <w:ind w:left="120" w:right="120"/>
        <w:rPr>
          <w:color w:val="000000" w:themeColor="text1"/>
          <w:lang w:eastAsia="zh-CN"/>
        </w:rPr>
      </w:pPr>
      <w:r>
        <w:rPr>
          <w:rStyle w:val="479"/>
          <w:color w:val="000000" w:themeColor="text1"/>
          <w:lang w:val="zh-CN" w:eastAsia="zh-CN"/>
        </w:rPr>
        <w:t>2.本合同未尽事宜，双方协商，并签订补充协议予以明确。</w:t>
      </w:r>
    </w:p>
    <w:p>
      <w:pPr>
        <w:pStyle w:val="476"/>
        <w:spacing w:before="22" w:after="22"/>
        <w:ind w:left="120" w:right="120"/>
        <w:rPr>
          <w:rStyle w:val="479"/>
          <w:color w:val="000000" w:themeColor="text1"/>
          <w:lang w:val="zh-CN" w:eastAsia="zh-CN"/>
        </w:rPr>
      </w:pPr>
      <w:r>
        <w:rPr>
          <w:rStyle w:val="479"/>
          <w:color w:val="000000" w:themeColor="text1"/>
          <w:lang w:val="zh-CN" w:eastAsia="zh-CN"/>
        </w:rPr>
        <w:t>3. 其他约定：</w:t>
      </w:r>
    </w:p>
    <w:p>
      <w:pPr>
        <w:pStyle w:val="476"/>
        <w:spacing w:before="22" w:after="22"/>
        <w:ind w:left="120" w:right="120"/>
        <w:rPr>
          <w:rStyle w:val="479"/>
          <w:color w:val="000000" w:themeColor="text1"/>
          <w:lang w:eastAsia="zh-CN"/>
        </w:rPr>
      </w:pPr>
      <w:r>
        <w:rPr>
          <w:rStyle w:val="479"/>
          <w:rFonts w:hint="eastAsia"/>
          <w:color w:val="000000" w:themeColor="text1"/>
          <w:lang w:val="zh-CN" w:eastAsia="zh-CN"/>
        </w:rPr>
        <w:t>3.</w:t>
      </w:r>
      <w:r>
        <w:rPr>
          <w:rStyle w:val="479"/>
          <w:color w:val="000000" w:themeColor="text1"/>
          <w:lang w:val="zh-CN" w:eastAsia="zh-CN"/>
        </w:rPr>
        <w:t>1. 甲乙双方须确保在销售、运输、存储、加工、使用等过程中遵守质量、安全、环境与健康等法律 法规的有关要求，承担质量、安全、环境与健康责任。</w:t>
      </w:r>
    </w:p>
    <w:p>
      <w:pPr>
        <w:pStyle w:val="55"/>
        <w:shd w:val="clear" w:color="auto" w:fill="FFFFFF"/>
        <w:adjustRightInd w:val="0"/>
        <w:snapToGrid w:val="0"/>
        <w:spacing w:before="0" w:beforeAutospacing="0" w:after="0" w:afterAutospacing="0"/>
        <w:textAlignment w:val="center"/>
        <w:rPr>
          <w:rStyle w:val="479"/>
          <w:rFonts w:hint="default" w:cs="宋体"/>
          <w:color w:val="000000" w:themeColor="text1"/>
          <w:sz w:val="21"/>
          <w:szCs w:val="21"/>
          <w:lang w:val="zh-CN"/>
        </w:rPr>
      </w:pPr>
      <w:r>
        <w:rPr>
          <w:rStyle w:val="479"/>
          <w:rFonts w:cs="宋体"/>
          <w:color w:val="000000" w:themeColor="text1"/>
          <w:sz w:val="21"/>
          <w:szCs w:val="21"/>
          <w:lang w:val="zh-CN"/>
        </w:rPr>
        <w:t>3.2.信访条款约定</w:t>
      </w:r>
      <w:r>
        <w:rPr>
          <w:rStyle w:val="479"/>
          <w:rFonts w:cs="宋体"/>
          <w:color w:val="000000" w:themeColor="text1"/>
          <w:sz w:val="21"/>
          <w:szCs w:val="21"/>
          <w:lang w:val="zh-CN"/>
        </w:rPr>
        <w:br w:type="textWrapping"/>
      </w:r>
      <w:r>
        <w:rPr>
          <w:rStyle w:val="479"/>
          <w:rFonts w:cs="宋体"/>
          <w:color w:val="000000" w:themeColor="text1"/>
          <w:sz w:val="21"/>
          <w:szCs w:val="21"/>
          <w:lang w:val="zh-CN"/>
        </w:rPr>
        <w:t>3.2.1 合同双方(各方)应严格遵守《信访工作条例》规定，在信访过程中应当遵守法律、法规,不得损害国 家、社会、集体的利益和其他公民的合法权利,自觉维护社会公共秩序和信访秩序。因乙方原因造成甲方 不稳定情形的，甲方有权暂停或终止本合同。</w:t>
      </w:r>
      <w:r>
        <w:rPr>
          <w:rStyle w:val="479"/>
          <w:rFonts w:cs="宋体"/>
          <w:color w:val="000000" w:themeColor="text1"/>
          <w:sz w:val="21"/>
          <w:szCs w:val="21"/>
          <w:lang w:val="zh-CN"/>
        </w:rPr>
        <w:br w:type="textWrapping"/>
      </w:r>
      <w:r>
        <w:rPr>
          <w:rStyle w:val="479"/>
          <w:rFonts w:cs="宋体"/>
          <w:color w:val="000000" w:themeColor="text1"/>
          <w:sz w:val="21"/>
          <w:szCs w:val="21"/>
          <w:lang w:val="zh-CN"/>
        </w:rPr>
        <w:t>3.2.2 乙方已知悉甲方及甲方上级单位关于拖欠民营企业、中小企业账款与农民工工资问题举报投诉线索受 理渠道与有效联系方式。</w:t>
      </w:r>
      <w:r>
        <w:rPr>
          <w:rStyle w:val="479"/>
          <w:rFonts w:cs="宋体"/>
          <w:color w:val="000000" w:themeColor="text1"/>
          <w:sz w:val="21"/>
          <w:szCs w:val="21"/>
          <w:lang w:val="zh-CN"/>
        </w:rPr>
        <w:br w:type="textWrapping"/>
      </w:r>
      <w:r>
        <w:rPr>
          <w:rStyle w:val="479"/>
          <w:rFonts w:cs="宋体"/>
          <w:color w:val="000000" w:themeColor="text1"/>
          <w:sz w:val="21"/>
          <w:szCs w:val="21"/>
          <w:lang w:val="zh-CN"/>
        </w:rPr>
        <w:t>3.3.通知与送达:</w:t>
      </w:r>
    </w:p>
    <w:p>
      <w:pPr>
        <w:pStyle w:val="55"/>
        <w:shd w:val="clear" w:color="auto" w:fill="FFFFFF"/>
        <w:adjustRightInd w:val="0"/>
        <w:snapToGrid w:val="0"/>
        <w:spacing w:before="0" w:beforeAutospacing="0" w:after="0" w:afterAutospacing="0"/>
        <w:textAlignment w:val="center"/>
        <w:rPr>
          <w:rStyle w:val="479"/>
          <w:rFonts w:hint="default" w:cs="宋体"/>
          <w:color w:val="000000" w:themeColor="text1"/>
          <w:sz w:val="21"/>
          <w:szCs w:val="21"/>
          <w:lang w:val="zh-CN"/>
        </w:rPr>
      </w:pPr>
      <w:r>
        <w:rPr>
          <w:rStyle w:val="479"/>
          <w:rFonts w:cs="宋体"/>
          <w:color w:val="000000" w:themeColor="text1"/>
          <w:sz w:val="21"/>
          <w:szCs w:val="21"/>
          <w:lang w:val="zh-CN"/>
        </w:rPr>
        <w:t>3.3.1 所有通知和通信都应是书面的(可用电子邮件预送达)，并亲自送达或以传真、挂号邮寄至合同中载 明的联系人地址。</w:t>
      </w:r>
      <w:r>
        <w:rPr>
          <w:rStyle w:val="479"/>
          <w:rFonts w:cs="宋体"/>
          <w:color w:val="000000" w:themeColor="text1"/>
          <w:sz w:val="21"/>
          <w:szCs w:val="21"/>
          <w:lang w:val="zh-CN"/>
        </w:rPr>
        <w:br w:type="textWrapping"/>
      </w:r>
      <w:r>
        <w:rPr>
          <w:rStyle w:val="479"/>
          <w:rFonts w:cs="宋体"/>
          <w:color w:val="000000" w:themeColor="text1"/>
          <w:sz w:val="21"/>
          <w:szCs w:val="21"/>
          <w:lang w:val="zh-CN"/>
        </w:rPr>
        <w:t>3.3.2合同中载明的双方(各方)通讯地址可作为双方(各方)往来联系、书面文件送达及争议解决时法律 文书送达的地址。亲自送达或挂号邮寄的通知送达时生效，传真发送后在收到对方确认函时生效。因载 明的地址有误或未及时告知变更后的地址，导致相关文书及诉讼文书未能实际被接收的、邮寄送达的， 相关文书及诉讼文书退回之日即视为送达之日。</w:t>
      </w:r>
    </w:p>
    <w:p>
      <w:pPr>
        <w:pStyle w:val="55"/>
        <w:shd w:val="clear" w:color="auto" w:fill="FFFFFF"/>
        <w:adjustRightInd w:val="0"/>
        <w:snapToGrid w:val="0"/>
        <w:spacing w:before="0" w:beforeAutospacing="0" w:after="0" w:afterAutospacing="0"/>
        <w:textAlignment w:val="center"/>
        <w:rPr>
          <w:rStyle w:val="479"/>
          <w:rFonts w:hint="default" w:cs="宋体"/>
          <w:color w:val="000000" w:themeColor="text1"/>
          <w:sz w:val="21"/>
          <w:szCs w:val="21"/>
          <w:lang w:val="zh-CN"/>
        </w:rPr>
      </w:pPr>
      <w:r>
        <w:rPr>
          <w:rStyle w:val="479"/>
          <w:rFonts w:cs="宋体"/>
          <w:color w:val="000000" w:themeColor="text1"/>
          <w:sz w:val="21"/>
          <w:szCs w:val="21"/>
          <w:lang w:val="zh-CN"/>
        </w:rPr>
        <w:t>3.4.双方另行签订《廉洁从业责任书》，并履行廉洁从业义务。</w:t>
      </w:r>
    </w:p>
    <w:p>
      <w:pPr>
        <w:pStyle w:val="476"/>
        <w:spacing w:before="22" w:after="22"/>
        <w:ind w:left="120" w:right="120"/>
        <w:rPr>
          <w:color w:val="000000" w:themeColor="text1"/>
          <w:lang w:eastAsia="zh-CN"/>
        </w:rPr>
      </w:pPr>
      <w:r>
        <w:rPr>
          <w:rStyle w:val="479"/>
          <w:color w:val="000000" w:themeColor="text1"/>
          <w:lang w:val="zh-CN" w:eastAsia="zh-CN"/>
        </w:rPr>
        <w:t xml:space="preserve"> 4. 本合同一式</w:t>
      </w:r>
      <w:r>
        <w:rPr>
          <w:color w:val="000000" w:themeColor="text1"/>
          <w:u w:val="single"/>
          <w:lang w:eastAsia="zh-CN"/>
        </w:rPr>
        <w:t>4</w:t>
      </w:r>
      <w:r>
        <w:rPr>
          <w:rStyle w:val="479"/>
          <w:color w:val="000000" w:themeColor="text1"/>
          <w:lang w:eastAsia="zh-CN"/>
        </w:rPr>
        <w:t>份，甲方</w:t>
      </w:r>
      <w:r>
        <w:rPr>
          <w:color w:val="000000" w:themeColor="text1"/>
          <w:u w:val="single"/>
          <w:lang w:eastAsia="zh-CN"/>
        </w:rPr>
        <w:t>2</w:t>
      </w:r>
      <w:r>
        <w:rPr>
          <w:rStyle w:val="479"/>
          <w:color w:val="000000" w:themeColor="text1"/>
          <w:lang w:val="zh-CN" w:eastAsia="zh-CN"/>
        </w:rPr>
        <w:t>份，乙方</w:t>
      </w:r>
      <w:r>
        <w:rPr>
          <w:color w:val="000000" w:themeColor="text1"/>
          <w:u w:val="single"/>
          <w:lang w:eastAsia="zh-CN"/>
        </w:rPr>
        <w:t>2</w:t>
      </w:r>
      <w:r>
        <w:rPr>
          <w:rStyle w:val="479"/>
          <w:color w:val="000000" w:themeColor="text1"/>
          <w:lang w:eastAsia="zh-CN"/>
        </w:rPr>
        <w:t>份，双方签字并盖章后生效，合同内容全部履行完毕后自行终止。</w:t>
      </w:r>
    </w:p>
    <w:p>
      <w:pPr>
        <w:spacing w:before="22" w:after="22"/>
        <w:ind w:left="120" w:right="120"/>
        <w:rPr>
          <w:rFonts w:ascii="宋体" w:hAnsi="宋体" w:eastAsia="宋体" w:cs="宋体"/>
          <w:color w:val="000000" w:themeColor="text1"/>
        </w:rPr>
      </w:pPr>
      <w:r>
        <w:rPr>
          <w:rStyle w:val="479"/>
          <w:rFonts w:ascii="宋体" w:hAnsi="宋体" w:eastAsia="宋体" w:cs="宋体"/>
          <w:color w:val="000000" w:themeColor="text1"/>
          <w:u w:val="single"/>
          <w:lang w:val="zh-CN"/>
        </w:rPr>
        <w:t>附件：中国石化集团南京化学工业有限公司施工项目安全合同书</w:t>
      </w:r>
    </w:p>
    <w:tbl>
      <w:tblPr>
        <w:tblStyle w:val="481"/>
        <w:tblW w:w="4700" w:type="pct"/>
        <w:tblInd w:w="286" w:type="dxa"/>
        <w:tblLayout w:type="autofit"/>
        <w:tblCellMar>
          <w:top w:w="15" w:type="dxa"/>
          <w:left w:w="15" w:type="dxa"/>
          <w:bottom w:w="15" w:type="dxa"/>
          <w:right w:w="15" w:type="dxa"/>
        </w:tblCellMar>
      </w:tblPr>
      <w:tblGrid>
        <w:gridCol w:w="4411"/>
        <w:gridCol w:w="4412"/>
      </w:tblGrid>
      <w:tr>
        <w:tblPrEx>
          <w:tblCellMar>
            <w:top w:w="15" w:type="dxa"/>
            <w:left w:w="15" w:type="dxa"/>
            <w:bottom w:w="15" w:type="dxa"/>
            <w:right w:w="15" w:type="dxa"/>
          </w:tblCellMar>
        </w:tblPrEx>
        <w:tc>
          <w:tcPr>
            <w:tcW w:w="2350" w:type="pct"/>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rPr>
            </w:pPr>
            <w:r>
              <w:rPr>
                <w:rFonts w:eastAsiaTheme="minorEastAsia"/>
                <w:color w:val="000000" w:themeColor="text1"/>
              </w:rPr>
              <w:t>甲方：</w:t>
            </w:r>
            <w:r>
              <w:rPr>
                <w:rFonts w:eastAsiaTheme="minorEastAsia"/>
                <w:color w:val="000000" w:themeColor="text1"/>
                <w:u w:val="single" w:color="000000"/>
              </w:rPr>
              <w:t>中石化南京化工机械有限公司</w:t>
            </w:r>
          </w:p>
        </w:tc>
        <w:tc>
          <w:tcPr>
            <w:tcW w:w="2350" w:type="pct"/>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lang w:eastAsia="zh-CN"/>
              </w:rPr>
            </w:pPr>
            <w:r>
              <w:rPr>
                <w:rFonts w:eastAsiaTheme="minorEastAsia"/>
                <w:color w:val="000000" w:themeColor="text1"/>
                <w:lang w:eastAsia="zh-CN"/>
              </w:rPr>
              <w:t>乙方：</w:t>
            </w:r>
            <w:r>
              <w:rPr>
                <w:rFonts w:hint="eastAsia" w:eastAsiaTheme="minorEastAsia"/>
                <w:color w:val="000000" w:themeColor="text1"/>
                <w:u w:val="single" w:color="000000"/>
                <w:lang w:eastAsia="zh-CN"/>
              </w:rPr>
              <w:t xml:space="preserve">                      </w:t>
            </w:r>
            <w:r>
              <w:rPr>
                <w:rFonts w:eastAsiaTheme="minorEastAsia"/>
                <w:color w:val="000000" w:themeColor="text1"/>
                <w:lang w:eastAsia="zh-CN"/>
              </w:rPr>
              <w:t xml:space="preserve"> </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spacing w:line="240" w:lineRule="auto"/>
              <w:rPr>
                <w:rFonts w:eastAsiaTheme="minorEastAsia"/>
                <w:color w:val="000000" w:themeColor="text1"/>
                <w:lang w:eastAsia="zh-CN"/>
              </w:rPr>
            </w:pPr>
          </w:p>
        </w:tc>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spacing w:line="240" w:lineRule="auto"/>
              <w:rPr>
                <w:rFonts w:eastAsiaTheme="minorEastAsia"/>
                <w:color w:val="000000" w:themeColor="text1"/>
                <w:lang w:eastAsia="zh-CN"/>
              </w:rPr>
            </w:pP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spacing w:before="22" w:after="22"/>
              <w:rPr>
                <w:rFonts w:ascii="宋体" w:hAnsi="宋体" w:eastAsia="宋体" w:cs="宋体"/>
                <w:color w:val="000000" w:themeColor="text1"/>
                <w:lang w:eastAsia="en-US"/>
              </w:rPr>
            </w:pPr>
            <w:r>
              <w:rPr>
                <w:rFonts w:ascii="宋体" w:hAnsi="宋体" w:eastAsia="宋体" w:cs="宋体"/>
                <w:color w:val="000000" w:themeColor="text1"/>
                <w:lang w:eastAsia="en-US"/>
              </w:rPr>
              <w:t>甲方法定代表人：</w:t>
            </w:r>
            <w:r>
              <w:rPr>
                <w:rFonts w:hint="eastAsia" w:cs="宋体" w:asciiTheme="minorEastAsia" w:hAnsiTheme="minorEastAsia" w:eastAsiaTheme="minorEastAsia"/>
                <w:color w:val="000000" w:themeColor="text1"/>
                <w:u w:val="single" w:color="000000"/>
                <w:lang w:eastAsia="zh-CN"/>
              </w:rPr>
              <w:t>朱</w:t>
            </w:r>
            <w:r>
              <w:rPr>
                <w:rFonts w:ascii="宋体" w:hAnsi="宋体" w:eastAsia="宋体" w:cs="宋体"/>
                <w:color w:val="000000" w:themeColor="text1"/>
                <w:u w:val="single" w:color="000000"/>
                <w:lang w:eastAsia="en-US"/>
              </w:rPr>
              <w:t>小明</w:t>
            </w:r>
            <w:r>
              <w:rPr>
                <w:rStyle w:val="486"/>
                <w:rFonts w:ascii="宋体" w:hAnsi="宋体" w:eastAsia="宋体" w:cs="宋体"/>
                <w:color w:val="000000" w:themeColor="text1"/>
                <w:u w:val="single" w:color="000000"/>
                <w:lang w:eastAsia="en-US"/>
              </w:rPr>
              <w:t xml:space="preserve">  </w:t>
            </w:r>
          </w:p>
        </w:tc>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spacing w:before="22" w:after="22"/>
              <w:rPr>
                <w:rFonts w:hint="eastAsia" w:ascii="宋体" w:hAnsi="宋体" w:cs="宋体" w:eastAsiaTheme="minorEastAsia"/>
                <w:color w:val="000000" w:themeColor="text1"/>
                <w:lang w:eastAsia="zh-CN"/>
              </w:rPr>
            </w:pPr>
            <w:r>
              <w:rPr>
                <w:rFonts w:ascii="宋体" w:hAnsi="宋体" w:eastAsia="宋体" w:cs="宋体"/>
                <w:color w:val="000000" w:themeColor="text1"/>
                <w:lang w:eastAsia="zh-CN"/>
              </w:rPr>
              <w:t>乙方法定代表人：</w:t>
            </w:r>
            <w:r>
              <w:rPr>
                <w:rFonts w:hint="eastAsia" w:ascii="宋体" w:hAnsi="宋体" w:cs="宋体" w:eastAsiaTheme="minorEastAsia"/>
                <w:color w:val="000000" w:themeColor="text1"/>
                <w:u w:val="single" w:color="000000"/>
                <w:lang w:eastAsia="zh-CN"/>
              </w:rPr>
              <w:t xml:space="preserve">          </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spacing w:line="240" w:lineRule="auto"/>
              <w:rPr>
                <w:rFonts w:eastAsiaTheme="minorEastAsia"/>
                <w:color w:val="000000" w:themeColor="text1"/>
                <w:lang w:eastAsia="zh-CN"/>
              </w:rPr>
            </w:pPr>
          </w:p>
        </w:tc>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spacing w:line="240" w:lineRule="auto"/>
              <w:rPr>
                <w:rFonts w:eastAsiaTheme="minorEastAsia"/>
                <w:color w:val="000000" w:themeColor="text1"/>
                <w:lang w:eastAsia="zh-CN"/>
              </w:rPr>
            </w:pPr>
          </w:p>
        </w:tc>
      </w:tr>
      <w:tr>
        <w:tblPrEx>
          <w:tblCellMar>
            <w:top w:w="15" w:type="dxa"/>
            <w:left w:w="15" w:type="dxa"/>
            <w:bottom w:w="15" w:type="dxa"/>
            <w:right w:w="15" w:type="dxa"/>
          </w:tblCellMar>
        </w:tblPrEx>
        <w:trPr>
          <w:trHeight w:val="272" w:hRule="atLeast"/>
        </w:trPr>
        <w:tc>
          <w:tcPr>
            <w:tcW w:w="0" w:type="auto"/>
            <w:vMerge w:val="restart"/>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lang w:eastAsia="zh-CN"/>
              </w:rPr>
            </w:pPr>
            <w:r>
              <w:rPr>
                <w:rFonts w:eastAsiaTheme="minorEastAsia"/>
                <w:color w:val="000000" w:themeColor="text1"/>
                <w:lang w:eastAsia="zh-CN"/>
              </w:rPr>
              <w:t> </w:t>
            </w:r>
          </w:p>
          <w:p>
            <w:pPr>
              <w:pStyle w:val="478"/>
              <w:spacing w:line="240" w:lineRule="auto"/>
              <w:rPr>
                <w:rFonts w:eastAsiaTheme="minorEastAsia"/>
                <w:color w:val="000000" w:themeColor="text1"/>
              </w:rPr>
            </w:pPr>
            <w:r>
              <w:rPr>
                <w:rFonts w:eastAsiaTheme="minorEastAsia"/>
                <w:color w:val="000000" w:themeColor="text1"/>
              </w:rPr>
              <w:t>委托代理人：</w:t>
            </w:r>
            <w:bookmarkStart w:id="209" w:name="tag-signature"/>
          </w:p>
          <w:p>
            <w:pPr>
              <w:pStyle w:val="478"/>
              <w:spacing w:line="240" w:lineRule="auto"/>
              <w:rPr>
                <w:rFonts w:eastAsiaTheme="minorEastAsia"/>
                <w:color w:val="000000" w:themeColor="text1"/>
              </w:rPr>
            </w:pPr>
            <w:r>
              <w:rPr>
                <w:rFonts w:eastAsiaTheme="minorEastAsia"/>
                <w:color w:val="000000" w:themeColor="text1"/>
              </w:rPr>
              <w:t> </w:t>
            </w:r>
          </w:p>
        </w:tc>
        <w:tc>
          <w:tcPr>
            <w:tcW w:w="0" w:type="auto"/>
            <w:vMerge w:val="restart"/>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rPr>
            </w:pPr>
            <w:r>
              <w:rPr>
                <w:rFonts w:eastAsiaTheme="minorEastAsia"/>
                <w:color w:val="000000" w:themeColor="text1"/>
              </w:rPr>
              <w:t>委托代理人：</w:t>
            </w:r>
            <w:bookmarkEnd w:id="209"/>
          </w:p>
        </w:tc>
      </w:tr>
      <w:tr>
        <w:tblPrEx>
          <w:tblCellMar>
            <w:top w:w="15" w:type="dxa"/>
            <w:left w:w="15" w:type="dxa"/>
            <w:bottom w:w="15" w:type="dxa"/>
            <w:right w:w="15" w:type="dxa"/>
          </w:tblCellMar>
        </w:tblPrEx>
        <w:trPr>
          <w:trHeight w:val="414" w:hRule="atLeast"/>
        </w:trPr>
        <w:tc>
          <w:tcPr>
            <w:tcW w:w="0" w:type="auto"/>
            <w:vMerge w:val="continue"/>
            <w:tcBorders>
              <w:top w:val="single" w:color="DDDDDD" w:sz="6" w:space="0"/>
              <w:left w:val="single" w:color="DDDDDD" w:sz="6" w:space="0"/>
              <w:bottom w:val="single" w:color="DDDDDD" w:sz="6" w:space="0"/>
              <w:right w:val="single" w:color="DDDDDD" w:sz="6" w:space="0"/>
            </w:tcBorders>
            <w:vAlign w:val="center"/>
          </w:tcPr>
          <w:p>
            <w:pPr>
              <w:rPr>
                <w:rFonts w:eastAsiaTheme="minorEastAsia"/>
                <w:color w:val="000000" w:themeColor="text1"/>
                <w:lang w:eastAsia="en-US"/>
              </w:rPr>
            </w:pPr>
          </w:p>
        </w:tc>
        <w:tc>
          <w:tcPr>
            <w:tcW w:w="0" w:type="auto"/>
            <w:vMerge w:val="continue"/>
            <w:tcBorders>
              <w:top w:val="single" w:color="DDDDDD" w:sz="6" w:space="0"/>
              <w:left w:val="single" w:color="DDDDDD" w:sz="6" w:space="0"/>
              <w:bottom w:val="single" w:color="DDDDDD" w:sz="6" w:space="0"/>
              <w:right w:val="single" w:color="DDDDDD" w:sz="6" w:space="0"/>
            </w:tcBorders>
            <w:vAlign w:val="center"/>
          </w:tcPr>
          <w:p>
            <w:pPr>
              <w:rPr>
                <w:rFonts w:eastAsiaTheme="minorEastAsia"/>
                <w:color w:val="000000" w:themeColor="text1"/>
                <w:lang w:eastAsia="en-US"/>
              </w:rPr>
            </w:pP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rPr>
            </w:pPr>
            <w:r>
              <w:rPr>
                <w:rStyle w:val="479"/>
                <w:rFonts w:eastAsiaTheme="minorEastAsia"/>
                <w:color w:val="000000" w:themeColor="text1"/>
                <w:lang w:val="zh-CN" w:eastAsia="zh-CN"/>
              </w:rPr>
              <w:t>签约时间：</w:t>
            </w:r>
            <w:bookmarkStart w:id="210" w:name="tag-signature-date"/>
          </w:p>
        </w:tc>
        <w:tc>
          <w:tcPr>
            <w:tcW w:w="0" w:type="auto"/>
            <w:tcBorders>
              <w:top w:val="single" w:color="DDDDDD" w:sz="6" w:space="0"/>
              <w:left w:val="single" w:color="DDDDDD" w:sz="6" w:space="0"/>
              <w:bottom w:val="single" w:color="DDDDDD" w:sz="6" w:space="0"/>
              <w:right w:val="single" w:color="DDDDDD" w:sz="6" w:space="0"/>
            </w:tcBorders>
            <w:noWrap/>
            <w:tcMar>
              <w:top w:w="82" w:type="dxa"/>
              <w:left w:w="158" w:type="dxa"/>
              <w:bottom w:w="82" w:type="dxa"/>
              <w:right w:w="158" w:type="dxa"/>
            </w:tcMar>
            <w:vAlign w:val="center"/>
          </w:tcPr>
          <w:p>
            <w:pPr>
              <w:pStyle w:val="478"/>
              <w:spacing w:line="240" w:lineRule="auto"/>
              <w:rPr>
                <w:rFonts w:eastAsiaTheme="minorEastAsia"/>
                <w:color w:val="000000" w:themeColor="text1"/>
              </w:rPr>
            </w:pPr>
            <w:r>
              <w:rPr>
                <w:rStyle w:val="479"/>
                <w:rFonts w:eastAsiaTheme="minorEastAsia"/>
                <w:color w:val="000000" w:themeColor="text1"/>
                <w:lang w:val="zh-CN" w:eastAsia="zh-CN"/>
              </w:rPr>
              <w:t>签约时间：</w:t>
            </w:r>
            <w:bookmarkEnd w:id="210"/>
          </w:p>
        </w:tc>
      </w:tr>
    </w:tbl>
    <w:p>
      <w:pPr>
        <w:pStyle w:val="476"/>
        <w:spacing w:before="22" w:after="22"/>
        <w:ind w:left="120" w:right="120"/>
        <w:rPr>
          <w:color w:val="000000" w:themeColor="text1"/>
        </w:rPr>
      </w:pPr>
      <w:r>
        <w:rPr>
          <w:rStyle w:val="486"/>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22"/>
        <w:ind w:left="120" w:right="120"/>
        <w:rPr>
          <w:color w:val="000000" w:themeColor="text1"/>
        </w:rPr>
      </w:pPr>
      <w:r>
        <w:rPr>
          <w:color w:val="000000" w:themeColor="text1"/>
        </w:rPr>
        <w:t> </w:t>
      </w:r>
    </w:p>
    <w:p>
      <w:pPr>
        <w:pStyle w:val="476"/>
        <w:spacing w:before="22" w:after="120"/>
        <w:ind w:left="120" w:right="120"/>
        <w:rPr>
          <w:color w:val="000000" w:themeColor="text1"/>
        </w:rPr>
      </w:pPr>
      <w:r>
        <w:rPr>
          <w:color w:val="000000" w:themeColor="text1"/>
        </w:rPr>
        <w:t> </w:t>
      </w:r>
    </w:p>
    <w:p>
      <w:pPr>
        <w:pStyle w:val="476"/>
        <w:spacing w:before="22" w:after="120"/>
        <w:ind w:right="120"/>
        <w:rPr>
          <w:color w:val="000000" w:themeColor="text1"/>
          <w:lang w:eastAsia="zh-CN"/>
        </w:rPr>
      </w:pPr>
    </w:p>
    <w:p>
      <w:pPr>
        <w:jc w:val="center"/>
        <w:rPr>
          <w:b/>
          <w:color w:val="000000" w:themeColor="text1"/>
          <w:sz w:val="28"/>
          <w:szCs w:val="28"/>
        </w:rPr>
      </w:pPr>
      <w:r>
        <w:rPr>
          <w:rFonts w:hint="eastAsia"/>
          <w:b/>
          <w:color w:val="000000" w:themeColor="text1"/>
          <w:sz w:val="28"/>
          <w:szCs w:val="28"/>
        </w:rPr>
        <w:t>中国石化集团南京化学工业有限公司施工项目安全合同书</w:t>
      </w:r>
    </w:p>
    <w:p>
      <w:pPr>
        <w:spacing w:line="220" w:lineRule="exact"/>
        <w:jc w:val="center"/>
        <w:rPr>
          <w:b/>
          <w:color w:val="000000" w:themeColor="text1"/>
          <w:szCs w:val="21"/>
        </w:rPr>
      </w:pPr>
    </w:p>
    <w:p>
      <w:pPr>
        <w:pStyle w:val="32"/>
        <w:spacing w:line="240" w:lineRule="exact"/>
        <w:rPr>
          <w:rFonts w:hAnsi="宋体"/>
          <w:color w:val="000000" w:themeColor="text1"/>
          <w:sz w:val="18"/>
          <w:szCs w:val="18"/>
          <w:u w:val="single"/>
        </w:rPr>
      </w:pPr>
      <w:r>
        <w:rPr>
          <w:color w:val="000000" w:themeColor="text1"/>
          <w:sz w:val="18"/>
          <w:szCs w:val="18"/>
        </w:rPr>
        <w:t>发包方（以下简称甲方）：</w:t>
      </w:r>
      <w:sdt>
        <w:sdtPr>
          <w:rPr>
            <w:color w:val="000000" w:themeColor="text1"/>
            <w:sz w:val="24"/>
            <w:szCs w:val="24"/>
          </w:rPr>
          <w:alias w:val="我方签约主体"/>
          <w:tag w:val="我方签约主体"/>
          <w:id w:val="8377800"/>
          <w:placeholder>
            <w:docPart w:val="53FCB83346D94209B52ED73B4A32ED1D"/>
          </w:placeholder>
        </w:sdtPr>
        <w:sdtEndPr>
          <w:rPr>
            <w:color w:val="000000" w:themeColor="text1"/>
            <w:sz w:val="24"/>
            <w:szCs w:val="24"/>
          </w:rPr>
        </w:sdtEndPr>
        <w:sdtContent>
          <w:permStart w:id="0" w:edGrp="everyone"/>
          <w:r>
            <w:rPr>
              <w:color w:val="000000" w:themeColor="text1"/>
              <w:sz w:val="24"/>
              <w:szCs w:val="24"/>
            </w:rPr>
            <w:t>中石化南京化工机械有限公司</w:t>
          </w:r>
          <w:permEnd w:id="0"/>
        </w:sdtContent>
      </w:sdt>
    </w:p>
    <w:p>
      <w:pPr>
        <w:pStyle w:val="32"/>
        <w:spacing w:line="240" w:lineRule="exact"/>
        <w:rPr>
          <w:color w:val="000000" w:themeColor="text1"/>
          <w:sz w:val="18"/>
          <w:szCs w:val="18"/>
          <w:u w:val="single"/>
        </w:rPr>
      </w:pPr>
      <w:r>
        <w:rPr>
          <w:color w:val="000000" w:themeColor="text1"/>
          <w:sz w:val="18"/>
          <w:szCs w:val="18"/>
        </w:rPr>
        <w:t>承包方（以下简称乙方）：</w:t>
      </w:r>
      <w:permStart w:id="1" w:edGrp="everyone"/>
      <w:sdt>
        <w:sdtPr>
          <w:rPr>
            <w:color w:val="000000" w:themeColor="text1"/>
            <w:sz w:val="24"/>
            <w:szCs w:val="24"/>
          </w:rPr>
          <w:alias w:val="相对方签约主体"/>
          <w:tag w:val="相对方签约主体"/>
          <w:id w:val="8377801"/>
          <w:placeholder>
            <w:docPart w:val="2056B7ED138D47799A719174AE82B1E5"/>
          </w:placeholder>
          <w:showingPlcHdr/>
        </w:sdtPr>
        <w:sdtEndPr>
          <w:rPr>
            <w:color w:val="000000" w:themeColor="text1"/>
            <w:sz w:val="24"/>
            <w:szCs w:val="24"/>
          </w:rPr>
        </w:sdtEndPr>
        <w:sdtContent>
          <w:r>
            <w:rPr>
              <w:rStyle w:val="487"/>
              <w:color w:val="000000" w:themeColor="text1"/>
            </w:rPr>
            <w:t>单击此处输入文字。</w:t>
          </w:r>
        </w:sdtContent>
      </w:sdt>
      <w:permEnd w:id="1"/>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第一条合同订立目的与依据</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为加强外来施工人员安全管理，实现企业安全生产，确保员工安全和健康，根据国家、地方政府有关法律法规和中国石化集团公司、南化公司有关管理制度，特订立本合同。</w:t>
      </w:r>
    </w:p>
    <w:p>
      <w:pPr>
        <w:spacing w:line="240" w:lineRule="exact"/>
        <w:ind w:firstLine="360" w:firstLineChars="200"/>
        <w:rPr>
          <w:rFonts w:ascii="宋体" w:hAnsi="宋体"/>
          <w:color w:val="000000" w:themeColor="text1"/>
          <w:sz w:val="18"/>
          <w:szCs w:val="18"/>
        </w:rPr>
      </w:pP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第二条承包工程（工作）内容</w:t>
      </w:r>
    </w:p>
    <w:p>
      <w:pPr>
        <w:spacing w:line="240" w:lineRule="exact"/>
        <w:ind w:firstLine="360" w:firstLineChars="200"/>
        <w:rPr>
          <w:rFonts w:ascii="宋体" w:hAnsi="宋体"/>
          <w:snapToGrid w:val="0"/>
          <w:color w:val="000000" w:themeColor="text1"/>
          <w:kern w:val="0"/>
          <w:sz w:val="18"/>
          <w:szCs w:val="18"/>
          <w:u w:val="single"/>
        </w:rPr>
      </w:pPr>
      <w:r>
        <w:rPr>
          <w:rFonts w:ascii="宋体" w:hAnsi="宋体"/>
          <w:color w:val="000000" w:themeColor="text1"/>
          <w:sz w:val="18"/>
          <w:szCs w:val="18"/>
        </w:rPr>
        <w:t>1</w:t>
      </w:r>
      <w:r>
        <w:rPr>
          <w:rFonts w:hint="eastAsia" w:ascii="宋体" w:hAnsi="宋体"/>
          <w:color w:val="000000" w:themeColor="text1"/>
          <w:sz w:val="18"/>
          <w:szCs w:val="18"/>
        </w:rPr>
        <w:t xml:space="preserve">. </w:t>
      </w:r>
      <w:r>
        <w:rPr>
          <w:rFonts w:ascii="宋体" w:hAnsi="宋体"/>
          <w:color w:val="000000" w:themeColor="text1"/>
          <w:sz w:val="18"/>
          <w:szCs w:val="18"/>
        </w:rPr>
        <w:t>工程（工作）名称：</w:t>
      </w:r>
      <w:r>
        <w:rPr>
          <w:rFonts w:ascii="宋体" w:hAnsi="宋体"/>
          <w:snapToGrid w:val="0"/>
          <w:color w:val="000000" w:themeColor="text1"/>
          <w:kern w:val="0"/>
          <w:sz w:val="18"/>
          <w:szCs w:val="18"/>
          <w:u w:val="single"/>
        </w:rPr>
        <w:t xml:space="preserve"> </w:t>
      </w:r>
    </w:p>
    <w:p>
      <w:pPr>
        <w:spacing w:line="240" w:lineRule="exact"/>
        <w:ind w:firstLine="360" w:firstLineChars="200"/>
        <w:rPr>
          <w:rFonts w:ascii="宋体" w:hAnsi="宋体"/>
          <w:color w:val="000000" w:themeColor="text1"/>
          <w:sz w:val="18"/>
          <w:szCs w:val="18"/>
        </w:rPr>
      </w:pPr>
      <w:r>
        <w:rPr>
          <w:rFonts w:ascii="宋体" w:hAnsi="宋体"/>
          <w:color w:val="000000" w:themeColor="text1"/>
          <w:sz w:val="18"/>
          <w:szCs w:val="18"/>
        </w:rPr>
        <w:t>2</w:t>
      </w:r>
      <w:r>
        <w:rPr>
          <w:rFonts w:hint="eastAsia" w:ascii="宋体" w:hAnsi="宋体"/>
          <w:color w:val="000000" w:themeColor="text1"/>
          <w:sz w:val="18"/>
          <w:szCs w:val="18"/>
        </w:rPr>
        <w:t>. 工程（工作）内容：</w:t>
      </w:r>
      <w:r>
        <w:rPr>
          <w:rFonts w:ascii="宋体" w:hAnsi="宋体"/>
          <w:color w:val="000000" w:themeColor="text1"/>
          <w:sz w:val="18"/>
          <w:szCs w:val="18"/>
        </w:rPr>
        <w:t xml:space="preserve"> </w:t>
      </w:r>
    </w:p>
    <w:p>
      <w:pPr>
        <w:spacing w:line="240" w:lineRule="exact"/>
        <w:ind w:firstLine="360" w:firstLineChars="200"/>
        <w:rPr>
          <w:rFonts w:ascii="宋体" w:hAnsi="宋体"/>
          <w:snapToGrid w:val="0"/>
          <w:color w:val="000000" w:themeColor="text1"/>
          <w:kern w:val="0"/>
          <w:sz w:val="18"/>
          <w:szCs w:val="18"/>
        </w:rPr>
      </w:pPr>
      <w:r>
        <w:rPr>
          <w:rFonts w:ascii="宋体" w:hAnsi="宋体"/>
          <w:color w:val="000000" w:themeColor="text1"/>
          <w:sz w:val="18"/>
          <w:szCs w:val="18"/>
        </w:rPr>
        <w:t>3</w:t>
      </w:r>
      <w:r>
        <w:rPr>
          <w:rFonts w:hint="eastAsia" w:ascii="宋体" w:hAnsi="宋体"/>
          <w:color w:val="000000" w:themeColor="text1"/>
          <w:sz w:val="18"/>
          <w:szCs w:val="18"/>
        </w:rPr>
        <w:t>. 工程（工作）预算：</w:t>
      </w:r>
      <w:permStart w:id="2" w:edGrp="everyone"/>
      <w:permEnd w:id="2"/>
    </w:p>
    <w:p>
      <w:pPr>
        <w:spacing w:line="240" w:lineRule="exact"/>
        <w:ind w:firstLine="360" w:firstLineChars="200"/>
        <w:rPr>
          <w:rFonts w:ascii="宋体" w:hAnsi="宋体"/>
          <w:snapToGrid w:val="0"/>
          <w:color w:val="000000" w:themeColor="text1"/>
          <w:kern w:val="0"/>
          <w:sz w:val="18"/>
          <w:szCs w:val="18"/>
          <w:u w:val="single"/>
        </w:rPr>
      </w:pPr>
      <w:r>
        <w:rPr>
          <w:rFonts w:ascii="宋体" w:hAnsi="宋体"/>
          <w:color w:val="000000" w:themeColor="text1"/>
          <w:sz w:val="18"/>
          <w:szCs w:val="18"/>
        </w:rPr>
        <w:t>4</w:t>
      </w:r>
      <w:r>
        <w:rPr>
          <w:rFonts w:hint="eastAsia" w:ascii="宋体" w:hAnsi="宋体"/>
          <w:color w:val="000000" w:themeColor="text1"/>
          <w:sz w:val="18"/>
          <w:szCs w:val="18"/>
        </w:rPr>
        <w:t>. 承包（工作）方式：</w:t>
      </w:r>
      <w:permStart w:id="3" w:edGrp="everyone"/>
      <w:permEnd w:id="3"/>
    </w:p>
    <w:p>
      <w:pPr>
        <w:spacing w:line="240" w:lineRule="exact"/>
        <w:ind w:firstLine="360" w:firstLineChars="200"/>
        <w:rPr>
          <w:rFonts w:ascii="宋体" w:hAnsi="宋体"/>
          <w:snapToGrid w:val="0"/>
          <w:color w:val="000000" w:themeColor="text1"/>
          <w:kern w:val="0"/>
          <w:sz w:val="18"/>
          <w:szCs w:val="18"/>
        </w:rPr>
      </w:pPr>
      <w:r>
        <w:rPr>
          <w:rFonts w:ascii="宋体" w:hAnsi="宋体"/>
          <w:color w:val="000000" w:themeColor="text1"/>
          <w:sz w:val="18"/>
          <w:szCs w:val="18"/>
        </w:rPr>
        <w:t>5</w:t>
      </w:r>
      <w:r>
        <w:rPr>
          <w:rFonts w:hint="eastAsia" w:ascii="宋体" w:hAnsi="宋体"/>
          <w:color w:val="000000" w:themeColor="text1"/>
          <w:sz w:val="18"/>
          <w:szCs w:val="18"/>
        </w:rPr>
        <w:t>. 工程（工作）期限：</w:t>
      </w:r>
      <w:permStart w:id="4" w:edGrp="everyone"/>
      <w:permEnd w:id="4"/>
    </w:p>
    <w:p>
      <w:pPr>
        <w:spacing w:line="240" w:lineRule="exact"/>
        <w:ind w:firstLine="360" w:firstLineChars="200"/>
        <w:rPr>
          <w:rFonts w:ascii="宋体" w:hAnsi="宋体"/>
          <w:color w:val="000000" w:themeColor="text1"/>
          <w:sz w:val="18"/>
          <w:szCs w:val="18"/>
        </w:rPr>
      </w:pP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第三条乙方安全管理义务与权利</w:t>
      </w:r>
    </w:p>
    <w:p>
      <w:pPr>
        <w:pStyle w:val="21"/>
        <w:spacing w:line="240" w:lineRule="exact"/>
        <w:ind w:firstLine="360" w:firstLineChars="200"/>
        <w:rPr>
          <w:rFonts w:ascii="宋体" w:hAnsi="宋体"/>
          <w:color w:val="000000" w:themeColor="text1"/>
          <w:sz w:val="18"/>
          <w:szCs w:val="18"/>
        </w:rPr>
      </w:pPr>
      <w:r>
        <w:rPr>
          <w:rFonts w:ascii="宋体" w:hAnsi="宋体"/>
          <w:color w:val="000000" w:themeColor="text1"/>
          <w:sz w:val="18"/>
          <w:szCs w:val="18"/>
        </w:rPr>
        <w:t>1</w:t>
      </w:r>
      <w:r>
        <w:rPr>
          <w:rFonts w:hint="eastAsia" w:ascii="宋体" w:hAnsi="宋体"/>
          <w:color w:val="000000" w:themeColor="text1"/>
          <w:sz w:val="18"/>
          <w:szCs w:val="18"/>
        </w:rPr>
        <w:t xml:space="preserve">. </w:t>
      </w:r>
      <w:r>
        <w:rPr>
          <w:rFonts w:ascii="宋体" w:hAnsi="宋体"/>
          <w:color w:val="000000" w:themeColor="text1"/>
          <w:sz w:val="18"/>
          <w:szCs w:val="18"/>
        </w:rPr>
        <w:t>乙方应认真贯彻落实国家有关</w:t>
      </w:r>
      <w:r>
        <w:rPr>
          <w:rFonts w:hint="eastAsia"/>
          <w:color w:val="000000" w:themeColor="text1"/>
          <w:sz w:val="18"/>
          <w:szCs w:val="18"/>
        </w:rPr>
        <w:t>安全、职业健康的</w:t>
      </w:r>
      <w:r>
        <w:rPr>
          <w:rFonts w:hint="eastAsia" w:ascii="宋体" w:hAnsi="宋体"/>
          <w:color w:val="000000" w:themeColor="text1"/>
          <w:sz w:val="18"/>
          <w:szCs w:val="18"/>
        </w:rPr>
        <w:t>法律法规，坚持“以人为本、安全第一、预防为主、综合治理”的方针和“管生产必须管安全”“谁主管谁负责”的原则，负责现场的安全检查和安全管理工作，并指定专人负责安全工作。乙方主要负责人、项目负责人、专职安全生产管理人员应取得政府部门颁发的安全生产考核合格证书。乙方应建立项目</w:t>
      </w:r>
      <w:r>
        <w:rPr>
          <w:rFonts w:ascii="宋体" w:hAnsi="宋体"/>
          <w:color w:val="000000" w:themeColor="text1"/>
          <w:sz w:val="18"/>
          <w:szCs w:val="18"/>
        </w:rPr>
        <w:t>H</w:t>
      </w:r>
      <w:r>
        <w:rPr>
          <w:rFonts w:hint="eastAsia" w:ascii="宋体" w:hAnsi="宋体"/>
          <w:color w:val="000000" w:themeColor="text1"/>
          <w:sz w:val="18"/>
          <w:szCs w:val="18"/>
        </w:rPr>
        <w:t>S</w:t>
      </w:r>
      <w:r>
        <w:rPr>
          <w:rFonts w:ascii="宋体" w:hAnsi="宋体"/>
          <w:color w:val="000000" w:themeColor="text1"/>
          <w:sz w:val="18"/>
          <w:szCs w:val="18"/>
        </w:rPr>
        <w:t>E</w:t>
      </w:r>
      <w:r>
        <w:rPr>
          <w:rFonts w:hint="eastAsia" w:ascii="宋体" w:hAnsi="宋体"/>
          <w:color w:val="000000" w:themeColor="text1"/>
          <w:sz w:val="18"/>
          <w:szCs w:val="18"/>
        </w:rPr>
        <w:t>组织</w:t>
      </w:r>
      <w:r>
        <w:rPr>
          <w:rFonts w:ascii="宋体" w:hAnsi="宋体"/>
          <w:color w:val="000000" w:themeColor="text1"/>
          <w:sz w:val="18"/>
          <w:szCs w:val="18"/>
        </w:rPr>
        <w:t>体系，并确保</w:t>
      </w:r>
      <w:r>
        <w:rPr>
          <w:rFonts w:hint="eastAsia" w:ascii="宋体" w:hAnsi="宋体"/>
          <w:color w:val="000000" w:themeColor="text1"/>
          <w:sz w:val="18"/>
          <w:szCs w:val="18"/>
        </w:rPr>
        <w:t>每50名作业人员中，安全管理人员</w:t>
      </w:r>
      <w:r>
        <w:rPr>
          <w:rFonts w:ascii="宋体" w:hAnsi="宋体"/>
          <w:color w:val="000000" w:themeColor="text1"/>
          <w:sz w:val="18"/>
          <w:szCs w:val="18"/>
        </w:rPr>
        <w:t>不可少于1人。</w:t>
      </w:r>
    </w:p>
    <w:p>
      <w:pPr>
        <w:pStyle w:val="21"/>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2. 乙方应建立完善HSE管理体系或职业健康安全管理系、环境管理体系，体系覆盖范围应包括其在甲方承接项目的业务范围。</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3. </w:t>
      </w:r>
      <w:r>
        <w:rPr>
          <w:rFonts w:ascii="宋体" w:hAnsi="宋体"/>
          <w:color w:val="000000" w:themeColor="text1"/>
          <w:sz w:val="18"/>
          <w:szCs w:val="18"/>
        </w:rPr>
        <w:t>乙方应建立本单位必要的安全管理制度和台账。</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安全管理制度至少应包括：《安全生产责任制》、《事故管理规定》、《安全检查规定》、《安全教育规定》、《施工机具安全管理规定》、《劳动防护用品管理规定》等并制定本单位《生产安全事故应急救援预案》等；安全管理台账至少应包括：《安全会议记录》、《安全检查记录》、《安全教育记录》、《特殊工种管理台帐》、《劳动保护用品管理台帐》、《事故管理台帐》、《员工教育和管理台帐》、《班组安全活动台帐》等台帐。</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4. </w:t>
      </w:r>
      <w:r>
        <w:rPr>
          <w:rFonts w:ascii="宋体" w:hAnsi="宋体"/>
          <w:color w:val="000000" w:themeColor="text1"/>
          <w:sz w:val="18"/>
          <w:szCs w:val="18"/>
        </w:rPr>
        <w:t>乙方应定期进行安全教育和培训工作，并做好记录备查：</w:t>
      </w:r>
    </w:p>
    <w:p>
      <w:pPr>
        <w:spacing w:line="240" w:lineRule="exact"/>
        <w:ind w:firstLine="360" w:firstLineChars="200"/>
        <w:rPr>
          <w:rFonts w:ascii="宋体" w:hAnsi="宋体"/>
          <w:color w:val="000000" w:themeColor="text1"/>
          <w:sz w:val="18"/>
          <w:szCs w:val="18"/>
        </w:rPr>
      </w:pPr>
      <w:r>
        <w:rPr>
          <w:rFonts w:ascii="宋体" w:hAnsi="宋体"/>
          <w:color w:val="000000" w:themeColor="text1"/>
          <w:sz w:val="18"/>
          <w:szCs w:val="18"/>
        </w:rPr>
        <w:t>(1)</w:t>
      </w:r>
      <w:r>
        <w:rPr>
          <w:rFonts w:hint="eastAsia" w:ascii="宋体" w:hAnsi="宋体"/>
          <w:color w:val="000000" w:themeColor="text1"/>
          <w:sz w:val="18"/>
          <w:szCs w:val="18"/>
        </w:rPr>
        <w:t>乙方不得雇佣非法人员，进入现场施工人员的年龄不应超过法定退休年龄，从事高空作业及特种作业的人员年龄不宜超过50周岁，女性不宜超过45周岁；并且能按照要求独自完成安全培训答卷，并有效识别现场各种警示标识。</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（2）乙方人员在到南化公司进行入场安全培训前，必须首先对员工进行安全培训，并对其安全能力进行考核，不合格者不允许进入。</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（3）</w:t>
      </w:r>
      <w:r>
        <w:rPr>
          <w:rFonts w:ascii="宋体" w:hAnsi="宋体"/>
          <w:color w:val="000000" w:themeColor="text1"/>
          <w:sz w:val="18"/>
          <w:szCs w:val="18"/>
        </w:rPr>
        <w:t>接受甲方组织的</w:t>
      </w:r>
      <w:r>
        <w:rPr>
          <w:rFonts w:hint="eastAsia" w:ascii="宋体" w:hAnsi="宋体"/>
          <w:color w:val="000000" w:themeColor="text1"/>
          <w:sz w:val="18"/>
          <w:szCs w:val="18"/>
        </w:rPr>
        <w:t>入场前安全培训、验证式培训和作业前安全教育</w:t>
      </w:r>
      <w:r>
        <w:rPr>
          <w:rFonts w:ascii="宋体" w:hAnsi="宋体"/>
          <w:color w:val="000000" w:themeColor="text1"/>
          <w:sz w:val="18"/>
          <w:szCs w:val="18"/>
        </w:rPr>
        <w:t>；</w:t>
      </w:r>
      <w:r>
        <w:rPr>
          <w:rFonts w:hint="eastAsia" w:ascii="宋体" w:hAnsi="宋体"/>
          <w:color w:val="000000" w:themeColor="text1"/>
          <w:sz w:val="18"/>
          <w:szCs w:val="18"/>
        </w:rPr>
        <w:t>乙方建立班组并且</w:t>
      </w:r>
      <w:r>
        <w:rPr>
          <w:rFonts w:ascii="宋体" w:hAnsi="宋体"/>
          <w:color w:val="000000" w:themeColor="text1"/>
          <w:sz w:val="18"/>
          <w:szCs w:val="18"/>
        </w:rPr>
        <w:t xml:space="preserve">每月组织2次班组安全活动和培训。 </w:t>
      </w:r>
    </w:p>
    <w:p>
      <w:pPr>
        <w:spacing w:line="240" w:lineRule="exact"/>
        <w:ind w:firstLine="360" w:firstLineChars="200"/>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4</w:t>
      </w:r>
      <w:r>
        <w:rPr>
          <w:rFonts w:ascii="宋体" w:hAnsi="宋体"/>
          <w:color w:val="000000" w:themeColor="text1"/>
          <w:sz w:val="18"/>
          <w:szCs w:val="18"/>
        </w:rPr>
        <w:t>)</w:t>
      </w:r>
      <w:r>
        <w:rPr>
          <w:rFonts w:hint="eastAsia" w:ascii="宋体" w:hAnsi="宋体"/>
          <w:color w:val="000000" w:themeColor="text1"/>
          <w:sz w:val="18"/>
          <w:szCs w:val="18"/>
        </w:rPr>
        <w:t>乙方应组织本单位的特种作业人员和特种设备作业人员取得政府部门颁发的“特种作业操作证”、“特种设备作业人员证”。</w:t>
      </w:r>
    </w:p>
    <w:p>
      <w:pPr>
        <w:spacing w:line="240" w:lineRule="exact"/>
        <w:ind w:firstLine="360" w:firstLineChars="200"/>
        <w:rPr>
          <w:rFonts w:ascii="宋体" w:hAnsi="宋体"/>
          <w:snapToGrid w:val="0"/>
          <w:color w:val="000000" w:themeColor="text1"/>
          <w:kern w:val="0"/>
          <w:sz w:val="18"/>
          <w:szCs w:val="18"/>
        </w:rPr>
      </w:pPr>
      <w:r>
        <w:rPr>
          <w:rFonts w:ascii="宋体" w:hAnsi="宋体"/>
          <w:color w:val="000000" w:themeColor="text1"/>
          <w:sz w:val="18"/>
          <w:szCs w:val="18"/>
        </w:rPr>
        <w:t>(</w:t>
      </w:r>
      <w:r>
        <w:rPr>
          <w:rFonts w:hint="eastAsia" w:ascii="宋体" w:hAnsi="宋体"/>
          <w:color w:val="000000" w:themeColor="text1"/>
          <w:sz w:val="18"/>
          <w:szCs w:val="18"/>
        </w:rPr>
        <w:t>5）</w:t>
      </w:r>
      <w:r>
        <w:rPr>
          <w:rFonts w:ascii="宋体" w:hAnsi="宋体"/>
          <w:color w:val="000000" w:themeColor="text1"/>
          <w:sz w:val="18"/>
          <w:szCs w:val="18"/>
        </w:rPr>
        <w:t>乙方应定期开展本单位规定的其他安全教育培训。</w:t>
      </w:r>
      <w:r>
        <w:rPr>
          <w:rFonts w:hint="eastAsia" w:ascii="宋体" w:hAnsi="宋体"/>
          <w:color w:val="000000" w:themeColor="text1"/>
          <w:sz w:val="18"/>
          <w:szCs w:val="18"/>
        </w:rPr>
        <w:t>开工前，乙方必须根据工程项目安全施工需要，对参加项目的所有员工进行安全培训，</w:t>
      </w:r>
      <w:r>
        <w:rPr>
          <w:rFonts w:ascii="宋体" w:hAnsi="宋体"/>
          <w:color w:val="000000" w:themeColor="text1"/>
          <w:sz w:val="18"/>
          <w:szCs w:val="18"/>
        </w:rPr>
        <w:t>并将</w:t>
      </w:r>
      <w:r>
        <w:rPr>
          <w:rFonts w:hint="eastAsia" w:ascii="宋体" w:hAnsi="宋体"/>
          <w:color w:val="000000" w:themeColor="text1"/>
          <w:sz w:val="18"/>
          <w:szCs w:val="18"/>
        </w:rPr>
        <w:t>安全教育培训记录报送甲方合同签订部门</w:t>
      </w:r>
      <w:r>
        <w:rPr>
          <w:rFonts w:ascii="宋体" w:hAnsi="宋体"/>
          <w:color w:val="000000" w:themeColor="text1"/>
          <w:sz w:val="18"/>
          <w:szCs w:val="18"/>
        </w:rPr>
        <w:t>备查</w:t>
      </w:r>
      <w:r>
        <w:rPr>
          <w:rFonts w:hint="eastAsia" w:ascii="宋体" w:hAnsi="宋体"/>
          <w:color w:val="000000" w:themeColor="text1"/>
          <w:sz w:val="18"/>
          <w:szCs w:val="18"/>
        </w:rPr>
        <w:t>。乙方项目管理人员（项目负责人、项目安全管理人员、现场技术负责人）必须通过甲方组织的专项安全培训，考核合格后方可开工。乙方监护人、许可证接收人（施工单位现场负责人或安全负责人、技术负责人）必须经过甲方组织的作业许可管理培训，取得合格证书。</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 xml:space="preserve">5. </w:t>
      </w:r>
      <w:r>
        <w:rPr>
          <w:rFonts w:ascii="宋体" w:hAnsi="宋体"/>
          <w:color w:val="000000" w:themeColor="text1"/>
          <w:sz w:val="18"/>
          <w:szCs w:val="18"/>
        </w:rPr>
        <w:t>乙方在开始工作前，应向甲方</w:t>
      </w:r>
      <w:r>
        <w:rPr>
          <w:rFonts w:hint="eastAsia" w:ascii="宋体" w:hAnsi="宋体"/>
          <w:color w:val="000000" w:themeColor="text1"/>
          <w:sz w:val="18"/>
          <w:szCs w:val="18"/>
        </w:rPr>
        <w:t>合同签订</w:t>
      </w:r>
      <w:r>
        <w:rPr>
          <w:rFonts w:ascii="宋体" w:hAnsi="宋体"/>
          <w:color w:val="000000" w:themeColor="text1"/>
          <w:sz w:val="18"/>
          <w:szCs w:val="18"/>
        </w:rPr>
        <w:t>部门送交作业人员和现场管理人员名单，名单需详细注明人员姓名、性别、文化程度、工种、职务、身份证号码及复印件、住址和健康检查、劳动合同签订及工伤保险缴纳等情况，并附上所有作业人员的劳动合同复印件、有效期内的体检报告复印件和特种作业人员的特种作业资格证书复印件。以后作业人员如有增减和工种改变等情况，则应随时送交变动人员的上述信息，不得漏报。不得安排有职业禁忌症的人员从事南化公司相应的职业禁忌工作；不得安排无特殊工种操作证者从事特种作业。</w:t>
      </w:r>
    </w:p>
    <w:p>
      <w:pPr>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6. </w:t>
      </w:r>
      <w:r>
        <w:rPr>
          <w:rFonts w:ascii="宋体" w:hAnsi="宋体"/>
          <w:color w:val="000000" w:themeColor="text1"/>
          <w:sz w:val="18"/>
          <w:szCs w:val="18"/>
        </w:rPr>
        <w:t>乙方必须严格遵守</w:t>
      </w:r>
      <w:r>
        <w:rPr>
          <w:rFonts w:hint="eastAsia" w:ascii="宋体" w:hAnsi="宋体"/>
          <w:color w:val="000000" w:themeColor="text1"/>
          <w:sz w:val="18"/>
          <w:szCs w:val="18"/>
        </w:rPr>
        <w:t>甲方各项安全规章制度，接受甲方有关部门和所在单位的监督检查，服从甲方安全管理，对甲方查出的安全隐患或问题，乙方应迅速整改到位，保证作业安全。</w:t>
      </w:r>
    </w:p>
    <w:p>
      <w:pPr>
        <w:widowControl/>
        <w:shd w:val="clear" w:color="auto" w:fill="FFFFFF"/>
        <w:jc w:val="left"/>
        <w:rPr>
          <w:rFonts w:ascii="宋体" w:hAnsi="宋体"/>
          <w:color w:val="000000" w:themeColor="text1"/>
          <w:sz w:val="18"/>
          <w:szCs w:val="18"/>
        </w:rPr>
      </w:pPr>
      <w:r>
        <w:rPr>
          <w:rFonts w:hint="eastAsia" w:ascii="宋体" w:hAnsi="宋体"/>
          <w:color w:val="000000" w:themeColor="text1"/>
          <w:sz w:val="18"/>
          <w:szCs w:val="18"/>
        </w:rPr>
        <w:t xml:space="preserve">7. </w:t>
      </w:r>
      <w:r>
        <w:rPr>
          <w:rFonts w:ascii="宋体" w:hAnsi="宋体"/>
          <w:color w:val="000000" w:themeColor="text1"/>
          <w:sz w:val="18"/>
          <w:szCs w:val="18"/>
        </w:rPr>
        <w:t>乙方应加强现场管理，定期检查现场人员遵章守纪情况、现场作业安全状况和安全装备，按规定配发并督促使用个体劳动防护用品，进入生产现场必须穿戴统一的、符合国家规定和南化公司有关安全要求的工作服、安全帽和工作鞋等</w:t>
      </w:r>
      <w:r>
        <w:rPr>
          <w:rFonts w:hint="eastAsia" w:ascii="宋体" w:hAnsi="宋体"/>
          <w:color w:val="000000" w:themeColor="text1"/>
          <w:sz w:val="18"/>
          <w:szCs w:val="18"/>
        </w:rPr>
        <w:t>，非中石化系统内的施工单位，禁止穿带有中石化或南化公司企业标志的工作服、安全帽</w:t>
      </w:r>
      <w:r>
        <w:rPr>
          <w:rFonts w:ascii="宋体" w:hAnsi="宋体"/>
          <w:color w:val="000000" w:themeColor="text1"/>
          <w:sz w:val="18"/>
          <w:szCs w:val="18"/>
        </w:rPr>
        <w:t>。乙方主要负责人到作业现场频次不得低于每周一次。</w:t>
      </w:r>
    </w:p>
    <w:p>
      <w:pPr>
        <w:widowControl/>
        <w:shd w:val="clear" w:color="auto" w:fill="FFFFFF"/>
        <w:jc w:val="left"/>
        <w:rPr>
          <w:rFonts w:ascii="宋体" w:hAnsi="宋体"/>
          <w:color w:val="000000" w:themeColor="text1"/>
          <w:sz w:val="18"/>
          <w:szCs w:val="18"/>
        </w:rPr>
      </w:pPr>
      <w:r>
        <w:rPr>
          <w:rFonts w:hint="eastAsia" w:ascii="宋体" w:hAnsi="宋体"/>
          <w:color w:val="000000" w:themeColor="text1"/>
          <w:sz w:val="18"/>
          <w:szCs w:val="18"/>
        </w:rPr>
        <w:t xml:space="preserve">8. </w:t>
      </w:r>
      <w:r>
        <w:rPr>
          <w:rFonts w:ascii="宋体" w:hAnsi="宋体"/>
          <w:color w:val="000000" w:themeColor="text1"/>
          <w:sz w:val="18"/>
          <w:szCs w:val="18"/>
        </w:rPr>
        <w:t>涉及特级用火、一级起重、Ⅳ级高处作业、情况复杂的进入受限空间作业等高风险作业，乙方主要负责人要在现场进行带班</w:t>
      </w:r>
      <w:r>
        <w:rPr>
          <w:rFonts w:hint="eastAsia" w:ascii="宋体" w:hAnsi="宋体"/>
          <w:color w:val="000000" w:themeColor="text1"/>
          <w:sz w:val="18"/>
          <w:szCs w:val="18"/>
        </w:rPr>
        <w:t>。</w:t>
      </w:r>
    </w:p>
    <w:p>
      <w:pPr>
        <w:spacing w:line="240" w:lineRule="exact"/>
        <w:rPr>
          <w:rFonts w:ascii="宋体" w:hAnsi="宋体"/>
          <w:color w:val="000000" w:themeColor="text1"/>
          <w:sz w:val="18"/>
          <w:szCs w:val="18"/>
        </w:rPr>
      </w:pPr>
      <w:r>
        <w:rPr>
          <w:rFonts w:hint="eastAsia" w:ascii="宋体" w:hAnsi="宋体"/>
          <w:color w:val="000000" w:themeColor="text1"/>
          <w:sz w:val="18"/>
          <w:szCs w:val="18"/>
        </w:rPr>
        <w:t xml:space="preserve">   9. </w:t>
      </w:r>
      <w:r>
        <w:rPr>
          <w:rFonts w:ascii="宋体" w:hAnsi="宋体"/>
          <w:color w:val="000000" w:themeColor="text1"/>
          <w:sz w:val="18"/>
          <w:szCs w:val="18"/>
        </w:rPr>
        <w:t>乙方所使用的各种设备和机械必须完好，符合国家有关安全标准，不得带“病”运转，不得超负荷使用</w:t>
      </w:r>
      <w:r>
        <w:rPr>
          <w:rFonts w:hint="eastAsia" w:ascii="宋体" w:hAnsi="宋体"/>
          <w:color w:val="000000" w:themeColor="text1"/>
          <w:sz w:val="18"/>
          <w:szCs w:val="18"/>
        </w:rPr>
        <w:t>。工机具进入甲方生产场所前，</w:t>
      </w:r>
      <w:r>
        <w:rPr>
          <w:rFonts w:hint="eastAsia"/>
          <w:color w:val="000000" w:themeColor="text1"/>
          <w:sz w:val="18"/>
          <w:szCs w:val="18"/>
        </w:rPr>
        <w:t>乙方应按照国家标准或甲方标准对工机具进行安全检查，确认完好后要粘贴“承包商自查合格证”</w:t>
      </w:r>
      <w:r>
        <w:rPr>
          <w:rFonts w:hint="eastAsia" w:ascii="宋体" w:hAnsi="宋体"/>
          <w:color w:val="000000" w:themeColor="text1"/>
          <w:sz w:val="18"/>
          <w:szCs w:val="18"/>
        </w:rPr>
        <w:t>。</w:t>
      </w:r>
    </w:p>
    <w:p>
      <w:pPr>
        <w:spacing w:line="240" w:lineRule="exact"/>
        <w:rPr>
          <w:rFonts w:ascii="宋体" w:hAnsi="宋体"/>
          <w:color w:val="000000" w:themeColor="text1"/>
          <w:sz w:val="18"/>
          <w:szCs w:val="18"/>
        </w:rPr>
      </w:pPr>
      <w:r>
        <w:rPr>
          <w:rFonts w:hint="eastAsia" w:ascii="宋体" w:hAnsi="宋体"/>
          <w:color w:val="000000" w:themeColor="text1"/>
          <w:sz w:val="18"/>
          <w:szCs w:val="18"/>
        </w:rPr>
        <w:t xml:space="preserve">   10. </w:t>
      </w:r>
      <w:r>
        <w:rPr>
          <w:rFonts w:ascii="宋体" w:hAnsi="宋体"/>
          <w:color w:val="000000" w:themeColor="text1"/>
          <w:sz w:val="18"/>
          <w:szCs w:val="18"/>
        </w:rPr>
        <w:t>乙方在</w:t>
      </w:r>
      <w:r>
        <w:rPr>
          <w:rFonts w:hint="eastAsia" w:ascii="宋体" w:hAnsi="宋体"/>
          <w:color w:val="000000" w:themeColor="text1"/>
          <w:sz w:val="18"/>
          <w:szCs w:val="18"/>
        </w:rPr>
        <w:t>施工作业前应参与甲方组织的作业前JSA分析，并且在</w:t>
      </w:r>
      <w:r>
        <w:rPr>
          <w:rFonts w:ascii="宋体" w:hAnsi="宋体"/>
          <w:color w:val="000000" w:themeColor="text1"/>
          <w:sz w:val="18"/>
          <w:szCs w:val="18"/>
        </w:rPr>
        <w:t>进行用火、进入受限空间、高处、临时用电、破土、放射线探伤、起重</w:t>
      </w:r>
      <w:r>
        <w:rPr>
          <w:rFonts w:hint="eastAsia" w:ascii="宋体" w:hAnsi="宋体"/>
          <w:color w:val="000000" w:themeColor="text1"/>
          <w:sz w:val="18"/>
          <w:szCs w:val="18"/>
        </w:rPr>
        <w:t>、抽堵盲板作业和高风险非常规作业时，应按有关规定办理许可手续，落实相关安全措施后方可作业。有权拒绝甲方违章指挥和强令冒险作业。</w:t>
      </w:r>
    </w:p>
    <w:p>
      <w:pPr>
        <w:spacing w:line="240" w:lineRule="exact"/>
        <w:rPr>
          <w:rFonts w:ascii="宋体" w:hAnsi="宋体"/>
          <w:color w:val="000000" w:themeColor="text1"/>
          <w:sz w:val="18"/>
          <w:szCs w:val="18"/>
        </w:rPr>
      </w:pPr>
      <w:r>
        <w:rPr>
          <w:rFonts w:hint="eastAsia" w:ascii="宋体" w:hAnsi="宋体"/>
          <w:color w:val="000000" w:themeColor="text1"/>
          <w:sz w:val="18"/>
          <w:szCs w:val="18"/>
        </w:rPr>
        <w:t xml:space="preserve">11. </w:t>
      </w:r>
      <w:r>
        <w:rPr>
          <w:rFonts w:ascii="宋体" w:hAnsi="宋体"/>
          <w:color w:val="000000" w:themeColor="text1"/>
          <w:sz w:val="18"/>
          <w:szCs w:val="18"/>
        </w:rPr>
        <w:t>乙方在甲方区域作业时如发生安全事故，应迅速（不超过1小时）上报</w:t>
      </w:r>
      <w:r>
        <w:rPr>
          <w:rFonts w:hint="eastAsia" w:ascii="宋体" w:hAnsi="宋体"/>
          <w:color w:val="000000" w:themeColor="text1"/>
          <w:sz w:val="18"/>
          <w:szCs w:val="18"/>
        </w:rPr>
        <w:t>作业项目所在的甲方属地区域和项目</w:t>
      </w:r>
      <w:r>
        <w:rPr>
          <w:rFonts w:ascii="宋体" w:hAnsi="宋体"/>
          <w:color w:val="000000" w:themeColor="text1"/>
          <w:sz w:val="18"/>
          <w:szCs w:val="18"/>
        </w:rPr>
        <w:t>发包单位；若乙方隐瞒不报、拖延迟报或采取不正当手段擅自处理，由乙方承担相应法律责任。</w:t>
      </w:r>
    </w:p>
    <w:p>
      <w:pPr>
        <w:spacing w:line="240" w:lineRule="exact"/>
        <w:rPr>
          <w:rFonts w:ascii="宋体" w:hAnsi="宋体"/>
          <w:color w:val="000000" w:themeColor="text1"/>
          <w:sz w:val="18"/>
          <w:szCs w:val="18"/>
        </w:rPr>
      </w:pPr>
      <w:r>
        <w:rPr>
          <w:rFonts w:hint="eastAsia" w:ascii="宋体" w:hAnsi="宋体"/>
          <w:color w:val="000000" w:themeColor="text1"/>
          <w:sz w:val="18"/>
          <w:szCs w:val="18"/>
        </w:rPr>
        <w:t>12. 乙方专业分包和劳务分包必须符合下列要求：</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（1）分包必须符合国家法律法规和中石化相关规定，禁止转包和违法违规分包。</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（2）实施分包的项目，总承包单位应负责分包商施工资质和安全资质审查，并报甲方批准或备案</w:t>
      </w:r>
      <w:ins w:id="0" w:author="wangr2020.nhgs" w:date="2021-03-01T16:06:00Z">
        <w:r>
          <w:rPr>
            <w:rFonts w:hint="eastAsia" w:ascii="宋体" w:hAnsi="宋体"/>
            <w:color w:val="000000" w:themeColor="text1"/>
            <w:sz w:val="18"/>
            <w:szCs w:val="18"/>
          </w:rPr>
          <w:t>，日常检维修</w:t>
        </w:r>
      </w:ins>
      <w:ins w:id="1" w:author="wangr2020.nhgs" w:date="2021-03-01T16:07:00Z">
        <w:r>
          <w:rPr>
            <w:rFonts w:hint="eastAsia" w:ascii="宋体" w:hAnsi="宋体"/>
            <w:color w:val="000000" w:themeColor="text1"/>
            <w:sz w:val="18"/>
            <w:szCs w:val="18"/>
          </w:rPr>
          <w:t>和</w:t>
        </w:r>
      </w:ins>
      <w:ins w:id="2" w:author="wangr2020.nhgs" w:date="2021-03-01T16:06:00Z">
        <w:r>
          <w:rPr>
            <w:rFonts w:hint="eastAsia" w:ascii="宋体" w:hAnsi="宋体"/>
            <w:color w:val="000000" w:themeColor="text1"/>
            <w:sz w:val="18"/>
            <w:szCs w:val="18"/>
          </w:rPr>
          <w:t>保运项目原则上不得分包</w:t>
        </w:r>
      </w:ins>
      <w:r>
        <w:rPr>
          <w:rFonts w:hint="eastAsia" w:ascii="宋体" w:hAnsi="宋体"/>
          <w:color w:val="000000" w:themeColor="text1"/>
          <w:sz w:val="18"/>
          <w:szCs w:val="18"/>
        </w:rPr>
        <w:t>；</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（3）总分包单位签订分包合同时，</w:t>
      </w:r>
      <w:r>
        <w:rPr>
          <w:rFonts w:ascii="宋体" w:hAnsi="宋体"/>
          <w:color w:val="000000" w:themeColor="text1"/>
          <w:sz w:val="18"/>
          <w:szCs w:val="18"/>
        </w:rPr>
        <w:t>必须</w:t>
      </w:r>
      <w:r>
        <w:rPr>
          <w:rFonts w:hint="eastAsia" w:ascii="宋体" w:hAnsi="宋体"/>
          <w:color w:val="000000" w:themeColor="text1"/>
          <w:sz w:val="18"/>
          <w:szCs w:val="18"/>
        </w:rPr>
        <w:t>经甲方或监理单位同意，</w:t>
      </w:r>
      <w:r>
        <w:rPr>
          <w:rFonts w:ascii="宋体" w:hAnsi="宋体"/>
          <w:color w:val="000000" w:themeColor="text1"/>
          <w:sz w:val="18"/>
          <w:szCs w:val="18"/>
        </w:rPr>
        <w:t>并</w:t>
      </w:r>
      <w:r>
        <w:rPr>
          <w:rFonts w:hint="eastAsia" w:ascii="宋体" w:hAnsi="宋体"/>
          <w:color w:val="000000" w:themeColor="text1"/>
          <w:sz w:val="18"/>
          <w:szCs w:val="18"/>
        </w:rPr>
        <w:t>将分包合同送甲方或监理单位备案；</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（4）实施分包的检修项目安全责任不应分包，如总、</w:t>
      </w:r>
      <w:r>
        <w:rPr>
          <w:rFonts w:ascii="宋体" w:hAnsi="宋体"/>
          <w:color w:val="000000" w:themeColor="text1"/>
          <w:sz w:val="18"/>
          <w:szCs w:val="18"/>
        </w:rPr>
        <w:t>分包</w:t>
      </w:r>
      <w:r>
        <w:rPr>
          <w:rFonts w:hint="eastAsia" w:ascii="宋体" w:hAnsi="宋体"/>
          <w:color w:val="000000" w:themeColor="text1"/>
          <w:sz w:val="18"/>
          <w:szCs w:val="18"/>
        </w:rPr>
        <w:t>单位要变更安全职责和合同内容，</w:t>
      </w:r>
      <w:r>
        <w:rPr>
          <w:rFonts w:ascii="宋体" w:hAnsi="宋体"/>
          <w:color w:val="000000" w:themeColor="text1"/>
          <w:sz w:val="18"/>
          <w:szCs w:val="18"/>
        </w:rPr>
        <w:t>必须</w:t>
      </w:r>
      <w:r>
        <w:rPr>
          <w:rFonts w:hint="eastAsia" w:ascii="宋体" w:hAnsi="宋体"/>
          <w:color w:val="000000" w:themeColor="text1"/>
          <w:sz w:val="18"/>
          <w:szCs w:val="18"/>
        </w:rPr>
        <w:t>重新签订分包合同，并报送甲方备案。</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（5）</w:t>
      </w:r>
      <w:r>
        <w:rPr>
          <w:rFonts w:ascii="宋体" w:hAnsi="宋体"/>
          <w:color w:val="000000" w:themeColor="text1"/>
          <w:sz w:val="18"/>
          <w:szCs w:val="18"/>
        </w:rPr>
        <w:t>禁止</w:t>
      </w:r>
      <w:r>
        <w:rPr>
          <w:rFonts w:hint="eastAsia" w:ascii="宋体" w:hAnsi="宋体"/>
          <w:color w:val="000000" w:themeColor="text1"/>
          <w:sz w:val="18"/>
          <w:szCs w:val="18"/>
        </w:rPr>
        <w:t>以劳务分包名义进行专业分包；</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（6）进行劳务分包时，施工现场管理机构应由劳务分包的发包单位组建，技术文件由发包单位负责编制，安全劳动保护用品等均应由发包单位负责提供；</w:t>
      </w:r>
    </w:p>
    <w:p>
      <w:pPr>
        <w:ind w:firstLine="360" w:firstLineChars="200"/>
        <w:rPr>
          <w:rFonts w:ascii="宋体" w:hAnsi="宋体"/>
          <w:color w:val="000000" w:themeColor="text1"/>
          <w:sz w:val="18"/>
          <w:szCs w:val="18"/>
        </w:rPr>
      </w:pPr>
      <w:r>
        <w:rPr>
          <w:rFonts w:hint="eastAsia" w:ascii="宋体" w:hAnsi="宋体"/>
          <w:color w:val="000000" w:themeColor="text1"/>
          <w:sz w:val="18"/>
          <w:szCs w:val="18"/>
        </w:rPr>
        <w:t>（7）劳务人员应有相应的资质，业务技能与从事的施工项目相适应。</w:t>
      </w:r>
    </w:p>
    <w:p>
      <w:pPr>
        <w:ind w:firstLine="360" w:firstLineChars="200"/>
        <w:rPr>
          <w:rFonts w:ascii="宋体" w:hAnsi="宋体"/>
          <w:color w:val="000000" w:themeColor="text1"/>
          <w:sz w:val="18"/>
          <w:szCs w:val="18"/>
        </w:rPr>
      </w:pPr>
      <w:r>
        <w:rPr>
          <w:rFonts w:hint="eastAsia" w:ascii="宋体" w:hAnsi="宋体"/>
          <w:color w:val="000000" w:themeColor="text1"/>
          <w:sz w:val="18"/>
          <w:szCs w:val="18"/>
        </w:rPr>
        <w:t>（8）劳务分包项目中的关键工种应杜绝临时零星用工。</w:t>
      </w:r>
    </w:p>
    <w:p>
      <w:pPr>
        <w:ind w:firstLine="360" w:firstLineChars="200"/>
        <w:rPr>
          <w:rFonts w:ascii="宋体" w:hAnsi="宋体"/>
          <w:color w:val="000000" w:themeColor="text1"/>
          <w:sz w:val="18"/>
          <w:szCs w:val="18"/>
        </w:rPr>
      </w:pPr>
      <w:r>
        <w:rPr>
          <w:rFonts w:hint="eastAsia" w:ascii="宋体" w:hAnsi="宋体"/>
          <w:color w:val="000000" w:themeColor="text1"/>
          <w:sz w:val="18"/>
          <w:szCs w:val="18"/>
        </w:rPr>
        <w:t>（9）发包单位应对劳务人员中的特种作业人员、特种设备作业人员</w:t>
      </w:r>
      <w:ins w:id="3" w:author="wangr2020.nhgs" w:date="2021-03-01T15:58:00Z">
        <w:r>
          <w:rPr>
            <w:rFonts w:hint="eastAsia" w:ascii="宋体" w:hAnsi="宋体"/>
            <w:color w:val="000000" w:themeColor="text1"/>
            <w:sz w:val="18"/>
            <w:szCs w:val="18"/>
          </w:rPr>
          <w:t>以及</w:t>
        </w:r>
      </w:ins>
      <w:r>
        <w:rPr>
          <w:rFonts w:hint="eastAsia" w:ascii="宋体" w:hAnsi="宋体"/>
          <w:color w:val="000000" w:themeColor="text1"/>
          <w:sz w:val="18"/>
          <w:szCs w:val="18"/>
        </w:rPr>
        <w:t>工程需要的其他人员进行业务技能的培训、考评，完善班组建设，并报送建设单位备查。</w:t>
      </w:r>
    </w:p>
    <w:p>
      <w:pPr>
        <w:ind w:firstLine="360" w:firstLineChars="200"/>
        <w:rPr>
          <w:rFonts w:ascii="宋体" w:hAnsi="宋体"/>
          <w:color w:val="000000" w:themeColor="text1"/>
          <w:sz w:val="18"/>
          <w:szCs w:val="18"/>
        </w:rPr>
      </w:pPr>
      <w:r>
        <w:rPr>
          <w:rFonts w:hint="eastAsia" w:ascii="宋体" w:hAnsi="宋体"/>
          <w:color w:val="000000" w:themeColor="text1"/>
          <w:sz w:val="18"/>
          <w:szCs w:val="18"/>
        </w:rPr>
        <w:t>（10）分包单位应对劳务人员的身份证复印件、特种作业操作证、特种设备作业人员证或上岗证复印件进行建档保存，并报送建设单位备查。</w:t>
      </w:r>
    </w:p>
    <w:p>
      <w:pPr>
        <w:spacing w:line="240" w:lineRule="exact"/>
        <w:rPr>
          <w:rFonts w:ascii="宋体" w:hAnsi="宋体"/>
          <w:color w:val="000000" w:themeColor="text1"/>
          <w:sz w:val="18"/>
          <w:szCs w:val="18"/>
        </w:rPr>
      </w:pPr>
      <w:r>
        <w:rPr>
          <w:rFonts w:hint="eastAsia" w:ascii="宋体" w:hAnsi="宋体"/>
          <w:color w:val="000000" w:themeColor="text1"/>
          <w:sz w:val="18"/>
          <w:szCs w:val="18"/>
        </w:rPr>
        <w:t>13. 特殊作业及重要的、危险性较大的高风险作业必须配备的安全视频监控设施由乙方提供，费用列入安全防护措施费。</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14. 其他：</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w:t>
      </w:r>
      <w:r>
        <w:rPr>
          <w:rFonts w:ascii="宋体" w:hAnsi="宋体"/>
          <w:color w:val="000000" w:themeColor="text1"/>
          <w:sz w:val="18"/>
          <w:szCs w:val="18"/>
        </w:rPr>
        <w:t>1</w:t>
      </w:r>
      <w:r>
        <w:rPr>
          <w:rFonts w:hint="eastAsia" w:ascii="宋体" w:hAnsi="宋体"/>
          <w:color w:val="000000" w:themeColor="text1"/>
          <w:sz w:val="18"/>
          <w:szCs w:val="18"/>
        </w:rPr>
        <w:t>）施工作业项目开工前，乙方必须在进行风险、危害分析的基础上，编制安全组织、技术措施并且得到落实和验收。</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（2）乙方负责项目管理的技术人员必须接受甲方现场技术人员的书面安全技术交底，乙方技术人员对有关安全施工的技术要求向乙方施工作业班组、施工人员作出详细说明，并由所有作业人员签字确认。</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（3）乙方要在施工现场设置安全风险及职业危害告知牌，公布项目存在的安全风险及职业危害因素、防护措施，并在施工现场的危险部位按要求设置各种警示标识。</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（4）进场机具设备应由监理单位或甲方</w:t>
      </w:r>
      <w:ins w:id="4" w:author="wangr2020.nhgs" w:date="2021-03-01T16:02:00Z">
        <w:r>
          <w:rPr>
            <w:rFonts w:hint="eastAsia" w:ascii="宋体" w:hAnsi="宋体"/>
            <w:color w:val="000000" w:themeColor="text1"/>
            <w:sz w:val="18"/>
            <w:szCs w:val="18"/>
          </w:rPr>
          <w:t>指定</w:t>
        </w:r>
      </w:ins>
      <w:ins w:id="5" w:author="wangr2020.nhgs" w:date="2021-03-01T16:03:00Z">
        <w:r>
          <w:rPr>
            <w:rFonts w:hint="eastAsia" w:ascii="宋体" w:hAnsi="宋体"/>
            <w:color w:val="000000" w:themeColor="text1"/>
            <w:sz w:val="18"/>
            <w:szCs w:val="18"/>
          </w:rPr>
          <w:t>部门</w:t>
        </w:r>
      </w:ins>
      <w:r>
        <w:rPr>
          <w:rFonts w:hint="eastAsia" w:ascii="宋体" w:hAnsi="宋体"/>
          <w:color w:val="000000" w:themeColor="text1"/>
          <w:sz w:val="18"/>
          <w:szCs w:val="18"/>
        </w:rPr>
        <w:t>检查、验收确认。</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（5）甲方、监理单位、乙方对作业现场共同进行检查，确认已具备安全作业条件后，方可办理开工手续。</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（6）每天作业前，乙方</w:t>
      </w:r>
      <w:r>
        <w:rPr>
          <w:rFonts w:ascii="宋体" w:hAnsi="宋体"/>
          <w:color w:val="000000" w:themeColor="text1"/>
          <w:sz w:val="18"/>
          <w:szCs w:val="18"/>
        </w:rPr>
        <w:t>要</w:t>
      </w:r>
      <w:r>
        <w:rPr>
          <w:rFonts w:hint="eastAsia" w:ascii="宋体" w:hAnsi="宋体"/>
          <w:color w:val="000000" w:themeColor="text1"/>
          <w:sz w:val="18"/>
          <w:szCs w:val="18"/>
        </w:rPr>
        <w:t>进行班前喊话，提醒当天</w:t>
      </w:r>
      <w:ins w:id="6" w:author="wangr2020.nhgs" w:date="2021-03-01T16:05:00Z">
        <w:r>
          <w:rPr>
            <w:rFonts w:hint="eastAsia" w:ascii="宋体" w:hAnsi="宋体"/>
            <w:color w:val="000000" w:themeColor="text1"/>
            <w:sz w:val="18"/>
            <w:szCs w:val="18"/>
          </w:rPr>
          <w:t>各项</w:t>
        </w:r>
      </w:ins>
      <w:r>
        <w:rPr>
          <w:rFonts w:hint="eastAsia" w:ascii="宋体" w:hAnsi="宋体"/>
          <w:color w:val="000000" w:themeColor="text1"/>
          <w:sz w:val="18"/>
          <w:szCs w:val="18"/>
        </w:rPr>
        <w:t>作业安全注意事项。</w:t>
      </w:r>
    </w:p>
    <w:p>
      <w:pPr>
        <w:spacing w:line="240" w:lineRule="exact"/>
        <w:ind w:firstLine="270" w:firstLineChars="150"/>
        <w:rPr>
          <w:rFonts w:ascii="宋体" w:hAnsi="宋体"/>
          <w:color w:val="000000" w:themeColor="text1"/>
          <w:sz w:val="18"/>
          <w:szCs w:val="18"/>
        </w:rPr>
      </w:pPr>
      <w:r>
        <w:rPr>
          <w:rFonts w:hint="eastAsia" w:ascii="宋体" w:hAnsi="宋体"/>
          <w:color w:val="000000" w:themeColor="text1"/>
          <w:sz w:val="18"/>
          <w:szCs w:val="18"/>
        </w:rPr>
        <w:t>（7</w:t>
      </w:r>
      <w:r>
        <w:rPr>
          <w:rFonts w:ascii="宋体" w:hAnsi="宋体"/>
          <w:color w:val="000000" w:themeColor="text1"/>
          <w:sz w:val="18"/>
          <w:szCs w:val="18"/>
        </w:rPr>
        <w:t>）</w:t>
      </w:r>
      <w:r>
        <w:rPr>
          <w:rFonts w:hint="eastAsia" w:ascii="宋体" w:hAnsi="宋体"/>
          <w:color w:val="000000" w:themeColor="text1"/>
          <w:sz w:val="18"/>
          <w:szCs w:val="18"/>
        </w:rPr>
        <w:t>乙方必须提交项目现场的危险性较大的分部分项工程和超过一定规模的危险性较大分部分项工程清单，并进行危害因素风险分析，</w:t>
      </w:r>
      <w:r>
        <w:rPr>
          <w:rFonts w:ascii="宋体" w:hAnsi="宋体"/>
          <w:color w:val="000000" w:themeColor="text1"/>
          <w:sz w:val="18"/>
          <w:szCs w:val="18"/>
        </w:rPr>
        <w:t>编制</w:t>
      </w:r>
      <w:r>
        <w:rPr>
          <w:rFonts w:hint="eastAsia" w:ascii="宋体" w:hAnsi="宋体"/>
          <w:color w:val="000000" w:themeColor="text1"/>
          <w:sz w:val="18"/>
          <w:szCs w:val="18"/>
        </w:rPr>
        <w:t>切实可行的应急预案，</w:t>
      </w:r>
      <w:r>
        <w:rPr>
          <w:rFonts w:ascii="宋体" w:hAnsi="宋体"/>
          <w:color w:val="000000" w:themeColor="text1"/>
          <w:sz w:val="18"/>
          <w:szCs w:val="18"/>
        </w:rPr>
        <w:t>报</w:t>
      </w:r>
      <w:r>
        <w:rPr>
          <w:rFonts w:hint="eastAsia" w:ascii="宋体" w:hAnsi="宋体"/>
          <w:color w:val="000000" w:themeColor="text1"/>
          <w:sz w:val="18"/>
          <w:szCs w:val="18"/>
        </w:rPr>
        <w:t>甲方备查。</w:t>
      </w:r>
    </w:p>
    <w:p>
      <w:pPr>
        <w:spacing w:line="240" w:lineRule="exact"/>
        <w:ind w:firstLine="360" w:firstLineChars="200"/>
        <w:rPr>
          <w:rFonts w:ascii="宋体" w:hAnsi="宋体"/>
          <w:color w:val="000000" w:themeColor="text1"/>
          <w:sz w:val="18"/>
          <w:szCs w:val="18"/>
        </w:rPr>
      </w:pP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第四条甲方安全管理义务与权利</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1. 甲方应科学设定项目的合理工期，不得擅自压缩合同约定的工期，如压缩工期，应按重大变更实施管理。如工期确需调整或优化，应组织专家对安全的影响或带来的相关风险进行论证和评估，制定相应的施工组织措施和安全保障措施，由项目负责人签发后执行。</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2. </w:t>
      </w:r>
      <w:r>
        <w:rPr>
          <w:rFonts w:ascii="宋体" w:hAnsi="宋体"/>
          <w:color w:val="000000" w:themeColor="text1"/>
          <w:sz w:val="18"/>
          <w:szCs w:val="18"/>
        </w:rPr>
        <w:t>甲方应</w:t>
      </w:r>
      <w:r>
        <w:rPr>
          <w:rFonts w:hint="eastAsia" w:ascii="宋体" w:hAnsi="宋体"/>
          <w:color w:val="000000" w:themeColor="text1"/>
          <w:sz w:val="18"/>
          <w:szCs w:val="18"/>
        </w:rPr>
        <w:t>对乙方安全管理状况、单位经营安全资质、有关人员安全上岗资质及其年龄、健康条件等进行准入审查，审查合格后与乙方签订施工（劳务）项目合同。在签订项目合同的同时，应与乙方签订本安全合同书。</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3. </w:t>
      </w:r>
      <w:r>
        <w:rPr>
          <w:rFonts w:ascii="宋体" w:hAnsi="宋体"/>
          <w:color w:val="000000" w:themeColor="text1"/>
          <w:sz w:val="18"/>
          <w:szCs w:val="18"/>
        </w:rPr>
        <w:t>甲方应按照国家有关法律法规和本单位有关规定组织用工，合理安排用工工作时间和工作量，保障女工法定权益。</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4</w:t>
      </w:r>
      <w:r>
        <w:rPr>
          <w:rFonts w:ascii="宋体" w:hAnsi="宋体"/>
          <w:color w:val="000000" w:themeColor="text1"/>
          <w:sz w:val="18"/>
          <w:szCs w:val="18"/>
        </w:rPr>
        <w:t>、甲方</w:t>
      </w:r>
      <w:r>
        <w:rPr>
          <w:rFonts w:hint="eastAsia" w:ascii="宋体" w:hAnsi="宋体"/>
          <w:color w:val="000000" w:themeColor="text1"/>
          <w:sz w:val="18"/>
          <w:szCs w:val="18"/>
        </w:rPr>
        <w:t>负责对乙方进行场前安全培训、验证式培训和作业前安全教育。</w:t>
      </w:r>
      <w:r>
        <w:rPr>
          <w:rFonts w:ascii="宋体" w:hAnsi="宋体"/>
          <w:color w:val="000000" w:themeColor="text1"/>
          <w:sz w:val="18"/>
          <w:szCs w:val="18"/>
        </w:rPr>
        <w:t>告知乙方应遵守的甲方各项安全生产监督管理制度。</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5. </w:t>
      </w:r>
      <w:r>
        <w:rPr>
          <w:rFonts w:ascii="宋体" w:hAnsi="宋体"/>
          <w:color w:val="000000" w:themeColor="text1"/>
          <w:sz w:val="18"/>
          <w:szCs w:val="18"/>
        </w:rPr>
        <w:t>甲方应如实告知乙方人员作业场所存在的危险有害因素、职业危害和应急防范措施。</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6. 根据作业过程中可能存在的职业病危害因素，甲方指导乙方配备个体防护用品，空气呼吸器、长管面具由甲方提供。</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7. </w:t>
      </w:r>
      <w:r>
        <w:rPr>
          <w:rFonts w:ascii="宋体" w:hAnsi="宋体"/>
          <w:color w:val="000000" w:themeColor="text1"/>
          <w:sz w:val="18"/>
          <w:szCs w:val="18"/>
        </w:rPr>
        <w:t>甲方负责审查乙方现场作业方案，协调双方现场安全管理和有关工作事项，为乙方提供必要的安全作业条件。</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8. </w:t>
      </w:r>
      <w:r>
        <w:rPr>
          <w:rFonts w:ascii="宋体" w:hAnsi="宋体"/>
          <w:color w:val="000000" w:themeColor="text1"/>
          <w:sz w:val="18"/>
          <w:szCs w:val="18"/>
        </w:rPr>
        <w:t>甲方对乙方派入人员</w:t>
      </w:r>
      <w:r>
        <w:rPr>
          <w:rFonts w:hint="eastAsia" w:ascii="宋体" w:hAnsi="宋体"/>
          <w:color w:val="000000" w:themeColor="text1"/>
          <w:sz w:val="18"/>
          <w:szCs w:val="18"/>
        </w:rPr>
        <w:t>负安全监督管理责任，应加强日常监督检查，及时督促其遵守南化公司有关安全规定。</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 xml:space="preserve">9. </w:t>
      </w:r>
      <w:r>
        <w:rPr>
          <w:rFonts w:ascii="宋体" w:hAnsi="宋体"/>
          <w:color w:val="000000" w:themeColor="text1"/>
          <w:sz w:val="18"/>
          <w:szCs w:val="18"/>
        </w:rPr>
        <w:t>乙方若</w:t>
      </w:r>
      <w:r>
        <w:rPr>
          <w:rFonts w:hint="eastAsia" w:ascii="宋体" w:hAnsi="宋体"/>
          <w:color w:val="000000" w:themeColor="text1"/>
          <w:sz w:val="18"/>
          <w:szCs w:val="18"/>
        </w:rPr>
        <w:t>发生甲方所规定的严重行为，甲方有权清退违章人员。</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10.</w:t>
      </w:r>
      <w:r>
        <w:rPr>
          <w:rFonts w:ascii="宋体" w:hAnsi="宋体"/>
          <w:color w:val="000000" w:themeColor="text1"/>
          <w:sz w:val="18"/>
          <w:szCs w:val="18"/>
        </w:rPr>
        <w:t>乙方违反南化公司</w:t>
      </w:r>
      <w:r>
        <w:rPr>
          <w:rFonts w:hint="eastAsia" w:ascii="宋体" w:hAnsi="宋体"/>
          <w:color w:val="000000" w:themeColor="text1"/>
          <w:sz w:val="18"/>
          <w:szCs w:val="18"/>
        </w:rPr>
        <w:t>安全生产监督管理制度，或不服从甲方安全管理，或不认真整改现场事故隐患时，甲方有权按照南化公司有关规定给与一定的经济处罚作为乙方违约金；有权责令乙方停工整顿，由此造成的一切经济损失由乙方负责。</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11.</w:t>
      </w:r>
      <w:r>
        <w:rPr>
          <w:rFonts w:ascii="宋体" w:hAnsi="宋体"/>
          <w:color w:val="000000" w:themeColor="text1"/>
          <w:sz w:val="18"/>
          <w:szCs w:val="18"/>
        </w:rPr>
        <w:t xml:space="preserve"> 承包商发生行为考核规定：</w:t>
      </w:r>
      <w:r>
        <w:rPr>
          <w:rFonts w:ascii="宋体" w:hAnsi="宋体"/>
          <w:color w:val="000000" w:themeColor="text1"/>
          <w:sz w:val="18"/>
          <w:szCs w:val="18"/>
        </w:rPr>
        <w:br w:type="textWrapping"/>
      </w:r>
      <w:r>
        <w:rPr>
          <w:rFonts w:ascii="宋体" w:hAnsi="宋体"/>
          <w:color w:val="000000" w:themeColor="text1"/>
          <w:sz w:val="18"/>
          <w:szCs w:val="18"/>
        </w:rPr>
        <w:t>（1）承包商发生严重违章行为及严重及安全行为负面清单的，按《关于对承包商单位追加责任考核（试行）的通知》执行。</w:t>
      </w:r>
    </w:p>
    <w:p>
      <w:pPr>
        <w:spacing w:line="240" w:lineRule="exact"/>
        <w:ind w:firstLine="360" w:firstLineChars="200"/>
        <w:rPr>
          <w:rFonts w:ascii="宋体" w:hAnsi="宋体"/>
          <w:color w:val="000000" w:themeColor="text1"/>
          <w:sz w:val="18"/>
          <w:szCs w:val="18"/>
        </w:rPr>
      </w:pPr>
      <w:r>
        <w:rPr>
          <w:rFonts w:ascii="宋体" w:hAnsi="宋体"/>
          <w:color w:val="000000" w:themeColor="text1"/>
          <w:sz w:val="18"/>
          <w:szCs w:val="18"/>
        </w:rPr>
        <w:t>（2）承包商发生一般及较大安全行为负面清单的，按《南化公司承包商管理细则》“附件：南化公司承包商考核标准”考核；发生重复性一般及较大违章行为按标准5倍考核，并对承包商安全培训；再次发生重复性一般及较大行为按标准的10倍考核，清退违章人员，约谈承包商管理人员；约谈承包商后仍有重复性一般违章行为的，按公司级生产安全事故处理。</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12. 如果因乙方原因发生1次生产安全事故，甲方将书面通知乙方进行停工整顿，因此造成甲方的损失由乙方承担；视乙方的整顿情况，甲方有权另行通知乙方是否继续履行合同。发生生产安全事故后一年内，甲方不再与乙方有新的合作。</w:t>
      </w:r>
    </w:p>
    <w:p>
      <w:pPr>
        <w:widowControl/>
        <w:shd w:val="clear" w:color="auto" w:fill="FFFFFF"/>
        <w:ind w:firstLine="360" w:firstLineChars="200"/>
        <w:jc w:val="left"/>
        <w:rPr>
          <w:rFonts w:ascii="宋体" w:hAnsi="宋体"/>
          <w:color w:val="000000" w:themeColor="text1"/>
          <w:sz w:val="18"/>
          <w:szCs w:val="18"/>
        </w:rPr>
      </w:pPr>
      <w:r>
        <w:rPr>
          <w:rFonts w:hint="eastAsia" w:ascii="宋体" w:hAnsi="宋体"/>
          <w:color w:val="000000" w:themeColor="text1"/>
          <w:sz w:val="18"/>
          <w:szCs w:val="18"/>
        </w:rPr>
        <w:t>13</w:t>
      </w:r>
      <w:r>
        <w:rPr>
          <w:rFonts w:ascii="宋体" w:hAnsi="宋体"/>
          <w:color w:val="000000" w:themeColor="text1"/>
          <w:sz w:val="18"/>
          <w:szCs w:val="18"/>
        </w:rPr>
        <w:t xml:space="preserve">. </w:t>
      </w:r>
      <w:r>
        <w:rPr>
          <w:rFonts w:hint="eastAsia" w:ascii="宋体" w:hAnsi="宋体"/>
          <w:color w:val="000000" w:themeColor="text1"/>
          <w:sz w:val="18"/>
          <w:szCs w:val="18"/>
        </w:rPr>
        <w:t>如发生2次生产安全事故的，发生生产安全事故后两年内，甲方不再与乙方有新的合作。</w:t>
      </w:r>
    </w:p>
    <w:p>
      <w:pPr>
        <w:widowControl/>
        <w:shd w:val="clear" w:color="auto" w:fill="FFFFFF"/>
        <w:ind w:firstLine="360" w:firstLineChars="200"/>
        <w:jc w:val="left"/>
        <w:rPr>
          <w:rFonts w:ascii="宋体" w:hAnsi="宋体"/>
          <w:color w:val="000000" w:themeColor="text1"/>
          <w:sz w:val="18"/>
          <w:szCs w:val="18"/>
        </w:rPr>
      </w:pPr>
      <w:r>
        <w:rPr>
          <w:rFonts w:ascii="宋体" w:hAnsi="宋体"/>
          <w:color w:val="000000" w:themeColor="text1"/>
          <w:sz w:val="18"/>
          <w:szCs w:val="18"/>
        </w:rPr>
        <w:t>1</w:t>
      </w:r>
      <w:r>
        <w:rPr>
          <w:rFonts w:hint="eastAsia" w:ascii="宋体" w:hAnsi="宋体"/>
          <w:color w:val="000000" w:themeColor="text1"/>
          <w:sz w:val="18"/>
          <w:szCs w:val="18"/>
        </w:rPr>
        <w:t>4</w:t>
      </w:r>
      <w:r>
        <w:rPr>
          <w:rFonts w:ascii="宋体" w:hAnsi="宋体"/>
          <w:color w:val="000000" w:themeColor="text1"/>
          <w:sz w:val="18"/>
          <w:szCs w:val="18"/>
        </w:rPr>
        <w:t>. 如果因乙方原因发生三次及以上的安全事故或发生1次环保处罚事件，甲方有权终止合同并将乙方清退出承包商资源市场。</w:t>
      </w:r>
    </w:p>
    <w:p>
      <w:pPr>
        <w:spacing w:line="240" w:lineRule="exact"/>
        <w:ind w:firstLine="360" w:firstLineChars="200"/>
        <w:rPr>
          <w:rFonts w:ascii="宋体" w:hAnsi="宋体"/>
          <w:color w:val="000000" w:themeColor="text1"/>
          <w:sz w:val="18"/>
          <w:szCs w:val="18"/>
        </w:rPr>
      </w:pP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第五条在甲方区域内发生与乙方有关的安全事故时，由甲乙双方共同组织事故调查，分清双方责任，制定落实防范措施，并按照中石化和南化公司相关规定进行事故处理，涉及违反法律的，追究违法责任。</w:t>
      </w:r>
    </w:p>
    <w:p>
      <w:pPr>
        <w:spacing w:line="240" w:lineRule="exact"/>
        <w:ind w:firstLine="360" w:firstLineChars="200"/>
        <w:rPr>
          <w:rFonts w:ascii="宋体" w:hAnsi="宋体"/>
          <w:color w:val="000000" w:themeColor="text1"/>
          <w:sz w:val="18"/>
          <w:szCs w:val="18"/>
        </w:rPr>
      </w:pP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第六条原则上，乙方应当为雇佣的人员办理工伤保险。特殊情况时，乙方应当为雇佣的人员购买人身意外伤害险，保额不低于</w:t>
      </w:r>
      <w:ins w:id="7" w:author="安全环保处" w:date="2021-03-01T10:12:00Z">
        <w:r>
          <w:rPr>
            <w:rFonts w:hint="eastAsia" w:ascii="宋体" w:hAnsi="宋体"/>
            <w:color w:val="000000" w:themeColor="text1"/>
            <w:sz w:val="18"/>
            <w:szCs w:val="18"/>
          </w:rPr>
          <w:t>一次性工亡补助金标准</w:t>
        </w:r>
      </w:ins>
      <w:r>
        <w:rPr>
          <w:rFonts w:ascii="宋体" w:hAnsi="宋体"/>
          <w:color w:val="000000" w:themeColor="text1"/>
          <w:sz w:val="18"/>
          <w:szCs w:val="18"/>
        </w:rPr>
        <w:t>8</w:t>
      </w:r>
      <w:ins w:id="8" w:author="安全环保处" w:date="2021-03-01T10:11:00Z">
        <w:r>
          <w:rPr>
            <w:rFonts w:hint="eastAsia" w:ascii="宋体" w:hAnsi="宋体"/>
            <w:color w:val="000000" w:themeColor="text1"/>
            <w:sz w:val="18"/>
            <w:szCs w:val="18"/>
          </w:rPr>
          <w:t>7.668</w:t>
        </w:r>
      </w:ins>
      <w:r>
        <w:rPr>
          <w:rFonts w:hint="eastAsia" w:ascii="宋体" w:hAnsi="宋体"/>
          <w:color w:val="000000" w:themeColor="text1"/>
          <w:sz w:val="18"/>
          <w:szCs w:val="18"/>
        </w:rPr>
        <w:t>万。</w:t>
      </w:r>
    </w:p>
    <w:p>
      <w:pPr>
        <w:spacing w:line="240" w:lineRule="exact"/>
        <w:ind w:firstLine="360" w:firstLineChars="200"/>
        <w:rPr>
          <w:rFonts w:ascii="宋体" w:hAnsi="宋体"/>
          <w:color w:val="000000" w:themeColor="text1"/>
          <w:sz w:val="18"/>
          <w:szCs w:val="18"/>
        </w:rPr>
      </w:pPr>
    </w:p>
    <w:p>
      <w:pPr>
        <w:spacing w:line="240" w:lineRule="exact"/>
        <w:ind w:firstLine="360" w:firstLineChars="200"/>
        <w:rPr>
          <w:rFonts w:ascii="宋体" w:hAnsi="宋体"/>
          <w:color w:val="000000" w:themeColor="text1"/>
          <w:sz w:val="18"/>
          <w:szCs w:val="18"/>
        </w:rPr>
      </w:pP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第七条 本合同自签订之日起生效。</w:t>
      </w:r>
    </w:p>
    <w:p>
      <w:pPr>
        <w:spacing w:line="24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本合同一式六份。发包方（甲方）、承包方（乙方）、监理单位、甲方项目部、财务部门和安环部门各执一份。</w:t>
      </w:r>
    </w:p>
    <w:tbl>
      <w:tblPr>
        <w:tblStyle w:val="60"/>
        <w:tblW w:w="0" w:type="auto"/>
        <w:tblInd w:w="0" w:type="dxa"/>
        <w:tblLayout w:type="autofit"/>
        <w:tblCellMar>
          <w:top w:w="0" w:type="dxa"/>
          <w:left w:w="108" w:type="dxa"/>
          <w:bottom w:w="0" w:type="dxa"/>
          <w:right w:w="108" w:type="dxa"/>
        </w:tblCellMar>
      </w:tblPr>
      <w:tblGrid>
        <w:gridCol w:w="1668"/>
        <w:gridCol w:w="2974"/>
        <w:gridCol w:w="1703"/>
        <w:gridCol w:w="2941"/>
      </w:tblGrid>
      <w:tr>
        <w:tblPrEx>
          <w:tblCellMar>
            <w:top w:w="0" w:type="dxa"/>
            <w:left w:w="108" w:type="dxa"/>
            <w:bottom w:w="0" w:type="dxa"/>
            <w:right w:w="108" w:type="dxa"/>
          </w:tblCellMar>
        </w:tblPrEx>
        <w:tc>
          <w:tcPr>
            <w:tcW w:w="1668" w:type="dxa"/>
            <w:vAlign w:val="center"/>
          </w:tcPr>
          <w:p>
            <w:pPr>
              <w:spacing w:line="240" w:lineRule="exact"/>
              <w:jc w:val="center"/>
              <w:rPr>
                <w:rFonts w:ascii="宋体" w:hAnsi="宋体"/>
                <w:color w:val="000000" w:themeColor="text1"/>
                <w:kern w:val="0"/>
                <w:sz w:val="18"/>
                <w:szCs w:val="18"/>
              </w:rPr>
            </w:pPr>
          </w:p>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发包方（甲方）（章）：</w:t>
            </w:r>
          </w:p>
        </w:tc>
        <w:tc>
          <w:tcPr>
            <w:tcW w:w="2974" w:type="dxa"/>
            <w:vAlign w:val="center"/>
          </w:tcPr>
          <w:p>
            <w:pPr>
              <w:spacing w:line="240" w:lineRule="exact"/>
              <w:jc w:val="left"/>
              <w:rPr>
                <w:rFonts w:ascii="宋体" w:hAnsi="宋体"/>
                <w:color w:val="000000" w:themeColor="text1"/>
                <w:kern w:val="0"/>
                <w:sz w:val="18"/>
                <w:szCs w:val="18"/>
              </w:rPr>
            </w:pPr>
          </w:p>
        </w:tc>
        <w:tc>
          <w:tcPr>
            <w:tcW w:w="1703" w:type="dxa"/>
            <w:vAlign w:val="center"/>
          </w:tcPr>
          <w:p>
            <w:pPr>
              <w:spacing w:line="240" w:lineRule="exact"/>
              <w:jc w:val="center"/>
              <w:rPr>
                <w:rFonts w:ascii="宋体" w:hAnsi="宋体"/>
                <w:color w:val="000000" w:themeColor="text1"/>
                <w:kern w:val="0"/>
                <w:sz w:val="18"/>
                <w:szCs w:val="18"/>
              </w:rPr>
            </w:pPr>
          </w:p>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承包方（乙方）（章）：</w:t>
            </w:r>
          </w:p>
        </w:tc>
        <w:tc>
          <w:tcPr>
            <w:tcW w:w="2941" w:type="dxa"/>
            <w:vAlign w:val="center"/>
          </w:tcPr>
          <w:p>
            <w:pPr>
              <w:spacing w:line="240" w:lineRule="exact"/>
              <w:jc w:val="left"/>
              <w:rPr>
                <w:rFonts w:ascii="宋体" w:hAnsi="宋体"/>
                <w:color w:val="000000" w:themeColor="text1"/>
                <w:kern w:val="0"/>
                <w:sz w:val="18"/>
                <w:szCs w:val="18"/>
              </w:rPr>
            </w:pPr>
          </w:p>
        </w:tc>
      </w:tr>
      <w:tr>
        <w:tblPrEx>
          <w:tblCellMar>
            <w:top w:w="0" w:type="dxa"/>
            <w:left w:w="108" w:type="dxa"/>
            <w:bottom w:w="0" w:type="dxa"/>
            <w:right w:w="108" w:type="dxa"/>
          </w:tblCellMar>
        </w:tblPrEx>
        <w:tc>
          <w:tcPr>
            <w:tcW w:w="1668" w:type="dxa"/>
            <w:vAlign w:val="center"/>
          </w:tcPr>
          <w:p>
            <w:pPr>
              <w:spacing w:line="240" w:lineRule="exact"/>
              <w:rPr>
                <w:rFonts w:ascii="宋体" w:hAnsi="宋体"/>
                <w:color w:val="000000" w:themeColor="text1"/>
                <w:kern w:val="0"/>
                <w:sz w:val="18"/>
                <w:szCs w:val="18"/>
              </w:rPr>
            </w:pPr>
            <w:r>
              <w:rPr>
                <w:rFonts w:hint="eastAsia" w:ascii="宋体" w:hAnsi="宋体"/>
                <w:color w:val="000000" w:themeColor="text1"/>
                <w:kern w:val="0"/>
                <w:sz w:val="18"/>
                <w:szCs w:val="18"/>
              </w:rPr>
              <w:t xml:space="preserve">运行部安全监督人    </w:t>
            </w:r>
          </w:p>
        </w:tc>
        <w:tc>
          <w:tcPr>
            <w:tcW w:w="2974" w:type="dxa"/>
            <w:vAlign w:val="center"/>
          </w:tcPr>
          <w:p>
            <w:pPr>
              <w:spacing w:line="240" w:lineRule="exact"/>
              <w:jc w:val="center"/>
              <w:rPr>
                <w:rFonts w:ascii="宋体" w:hAnsi="宋体"/>
                <w:color w:val="000000" w:themeColor="text1"/>
                <w:kern w:val="0"/>
                <w:sz w:val="18"/>
                <w:szCs w:val="18"/>
              </w:rPr>
            </w:pPr>
          </w:p>
          <w:p>
            <w:pPr>
              <w:spacing w:line="240" w:lineRule="exact"/>
              <w:jc w:val="center"/>
              <w:rPr>
                <w:rFonts w:ascii="宋体" w:hAnsi="宋体"/>
                <w:color w:val="000000" w:themeColor="text1"/>
                <w:kern w:val="0"/>
                <w:sz w:val="18"/>
                <w:szCs w:val="18"/>
              </w:rPr>
            </w:pPr>
          </w:p>
        </w:tc>
        <w:tc>
          <w:tcPr>
            <w:tcW w:w="1703" w:type="dxa"/>
            <w:vAlign w:val="center"/>
          </w:tcPr>
          <w:p>
            <w:pPr>
              <w:spacing w:line="240" w:lineRule="exact"/>
              <w:jc w:val="center"/>
              <w:rPr>
                <w:rFonts w:ascii="宋体" w:hAnsi="宋体"/>
                <w:color w:val="000000" w:themeColor="text1"/>
                <w:kern w:val="0"/>
                <w:sz w:val="18"/>
                <w:szCs w:val="18"/>
              </w:rPr>
            </w:pPr>
          </w:p>
        </w:tc>
        <w:tc>
          <w:tcPr>
            <w:tcW w:w="2941" w:type="dxa"/>
            <w:vAlign w:val="center"/>
          </w:tcPr>
          <w:p>
            <w:pPr>
              <w:spacing w:line="240" w:lineRule="exact"/>
              <w:jc w:val="center"/>
              <w:rPr>
                <w:rFonts w:ascii="宋体" w:hAnsi="宋体"/>
                <w:color w:val="000000" w:themeColor="text1"/>
                <w:kern w:val="0"/>
                <w:sz w:val="18"/>
                <w:szCs w:val="18"/>
              </w:rPr>
            </w:pPr>
          </w:p>
        </w:tc>
      </w:tr>
      <w:tr>
        <w:tblPrEx>
          <w:tblCellMar>
            <w:top w:w="0" w:type="dxa"/>
            <w:left w:w="108" w:type="dxa"/>
            <w:bottom w:w="0" w:type="dxa"/>
            <w:right w:w="108" w:type="dxa"/>
          </w:tblCellMar>
        </w:tblPrEx>
        <w:tc>
          <w:tcPr>
            <w:tcW w:w="1668" w:type="dxa"/>
            <w:vAlign w:val="center"/>
          </w:tcPr>
          <w:p>
            <w:pPr>
              <w:spacing w:line="240" w:lineRule="exact"/>
              <w:rPr>
                <w:rFonts w:ascii="宋体" w:hAnsi="宋体"/>
                <w:color w:val="000000" w:themeColor="text1"/>
                <w:kern w:val="0"/>
                <w:sz w:val="18"/>
                <w:szCs w:val="18"/>
              </w:rPr>
            </w:pPr>
            <w:r>
              <w:rPr>
                <w:rFonts w:hint="eastAsia" w:ascii="宋体" w:hAnsi="宋体"/>
                <w:color w:val="000000" w:themeColor="text1"/>
                <w:kern w:val="0"/>
                <w:sz w:val="18"/>
                <w:szCs w:val="18"/>
              </w:rPr>
              <w:t xml:space="preserve">部门安全监督人 </w:t>
            </w:r>
          </w:p>
        </w:tc>
        <w:tc>
          <w:tcPr>
            <w:tcW w:w="2974" w:type="dxa"/>
            <w:vAlign w:val="center"/>
          </w:tcPr>
          <w:p>
            <w:pPr>
              <w:spacing w:line="240" w:lineRule="exact"/>
              <w:jc w:val="center"/>
              <w:rPr>
                <w:rFonts w:ascii="宋体" w:hAnsi="宋体"/>
                <w:color w:val="000000" w:themeColor="text1"/>
                <w:kern w:val="0"/>
                <w:sz w:val="18"/>
                <w:szCs w:val="18"/>
              </w:rPr>
            </w:pPr>
          </w:p>
        </w:tc>
        <w:tc>
          <w:tcPr>
            <w:tcW w:w="1703" w:type="dxa"/>
            <w:vAlign w:val="center"/>
          </w:tcPr>
          <w:p>
            <w:pPr>
              <w:spacing w:line="240" w:lineRule="exact"/>
              <w:jc w:val="center"/>
              <w:rPr>
                <w:rFonts w:ascii="宋体" w:hAnsi="宋体"/>
                <w:color w:val="000000" w:themeColor="text1"/>
                <w:kern w:val="0"/>
                <w:sz w:val="18"/>
                <w:szCs w:val="18"/>
              </w:rPr>
            </w:pPr>
          </w:p>
        </w:tc>
        <w:tc>
          <w:tcPr>
            <w:tcW w:w="2941" w:type="dxa"/>
            <w:vAlign w:val="center"/>
          </w:tcPr>
          <w:p>
            <w:pPr>
              <w:spacing w:line="240" w:lineRule="exact"/>
              <w:jc w:val="center"/>
              <w:rPr>
                <w:rFonts w:ascii="宋体" w:hAnsi="宋体"/>
                <w:color w:val="000000" w:themeColor="text1"/>
                <w:kern w:val="0"/>
                <w:sz w:val="18"/>
                <w:szCs w:val="18"/>
              </w:rPr>
            </w:pPr>
          </w:p>
        </w:tc>
      </w:tr>
      <w:tr>
        <w:tblPrEx>
          <w:tblCellMar>
            <w:top w:w="0" w:type="dxa"/>
            <w:left w:w="108" w:type="dxa"/>
            <w:bottom w:w="0" w:type="dxa"/>
            <w:right w:w="108" w:type="dxa"/>
          </w:tblCellMar>
        </w:tblPrEx>
        <w:tc>
          <w:tcPr>
            <w:tcW w:w="1668" w:type="dxa"/>
            <w:vAlign w:val="center"/>
          </w:tcPr>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法定代表人：</w:t>
            </w:r>
          </w:p>
        </w:tc>
        <w:tc>
          <w:tcPr>
            <w:tcW w:w="2974" w:type="dxa"/>
            <w:vAlign w:val="center"/>
          </w:tcPr>
          <w:p>
            <w:pPr>
              <w:spacing w:line="240" w:lineRule="exact"/>
              <w:jc w:val="center"/>
              <w:rPr>
                <w:rFonts w:ascii="宋体" w:hAnsi="宋体"/>
                <w:color w:val="000000" w:themeColor="text1"/>
                <w:kern w:val="0"/>
                <w:sz w:val="18"/>
                <w:szCs w:val="18"/>
              </w:rPr>
            </w:pPr>
          </w:p>
        </w:tc>
        <w:tc>
          <w:tcPr>
            <w:tcW w:w="1703" w:type="dxa"/>
            <w:vAlign w:val="center"/>
          </w:tcPr>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法定代表人：</w:t>
            </w:r>
          </w:p>
        </w:tc>
        <w:tc>
          <w:tcPr>
            <w:tcW w:w="2941" w:type="dxa"/>
            <w:vAlign w:val="center"/>
          </w:tcPr>
          <w:p>
            <w:pPr>
              <w:spacing w:line="240" w:lineRule="exact"/>
              <w:rPr>
                <w:rFonts w:ascii="宋体" w:hAnsi="宋体"/>
                <w:b/>
                <w:bCs/>
                <w:color w:val="000000" w:themeColor="text1"/>
                <w:kern w:val="44"/>
                <w:sz w:val="18"/>
                <w:szCs w:val="18"/>
              </w:rPr>
            </w:pPr>
          </w:p>
          <w:p>
            <w:pPr>
              <w:spacing w:line="240" w:lineRule="exact"/>
              <w:rPr>
                <w:rFonts w:ascii="宋体" w:hAnsi="宋体"/>
                <w:color w:val="000000" w:themeColor="text1"/>
                <w:kern w:val="0"/>
                <w:sz w:val="18"/>
                <w:szCs w:val="18"/>
              </w:rPr>
            </w:pPr>
          </w:p>
        </w:tc>
      </w:tr>
      <w:tr>
        <w:tblPrEx>
          <w:tblCellMar>
            <w:top w:w="0" w:type="dxa"/>
            <w:left w:w="108" w:type="dxa"/>
            <w:bottom w:w="0" w:type="dxa"/>
            <w:right w:w="108" w:type="dxa"/>
          </w:tblCellMar>
        </w:tblPrEx>
        <w:tc>
          <w:tcPr>
            <w:tcW w:w="1668" w:type="dxa"/>
            <w:vAlign w:val="center"/>
          </w:tcPr>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委托代理人：</w:t>
            </w:r>
          </w:p>
        </w:tc>
        <w:tc>
          <w:tcPr>
            <w:tcW w:w="2974" w:type="dxa"/>
            <w:vAlign w:val="center"/>
          </w:tcPr>
          <w:p>
            <w:pPr>
              <w:spacing w:line="240" w:lineRule="exact"/>
              <w:jc w:val="center"/>
              <w:rPr>
                <w:rFonts w:ascii="宋体" w:hAnsi="宋体"/>
                <w:color w:val="000000" w:themeColor="text1"/>
                <w:kern w:val="0"/>
                <w:sz w:val="18"/>
                <w:szCs w:val="18"/>
              </w:rPr>
            </w:pPr>
          </w:p>
        </w:tc>
        <w:tc>
          <w:tcPr>
            <w:tcW w:w="1703" w:type="dxa"/>
            <w:vAlign w:val="center"/>
          </w:tcPr>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委托代理人：</w:t>
            </w:r>
          </w:p>
        </w:tc>
        <w:tc>
          <w:tcPr>
            <w:tcW w:w="2941" w:type="dxa"/>
            <w:vAlign w:val="center"/>
          </w:tcPr>
          <w:p>
            <w:pPr>
              <w:spacing w:line="240" w:lineRule="exact"/>
              <w:rPr>
                <w:rFonts w:ascii="宋体" w:hAnsi="宋体"/>
                <w:b/>
                <w:bCs/>
                <w:color w:val="000000" w:themeColor="text1"/>
                <w:kern w:val="44"/>
                <w:sz w:val="18"/>
                <w:szCs w:val="18"/>
              </w:rPr>
            </w:pPr>
          </w:p>
          <w:p>
            <w:pPr>
              <w:spacing w:line="240" w:lineRule="exact"/>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68" w:hRule="atLeast"/>
        </w:trPr>
        <w:tc>
          <w:tcPr>
            <w:tcW w:w="1668" w:type="dxa"/>
            <w:vAlign w:val="center"/>
          </w:tcPr>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订立时间：</w:t>
            </w:r>
          </w:p>
        </w:tc>
        <w:tc>
          <w:tcPr>
            <w:tcW w:w="2974" w:type="dxa"/>
            <w:vAlign w:val="center"/>
          </w:tcPr>
          <w:p>
            <w:pPr>
              <w:spacing w:line="240" w:lineRule="exact"/>
              <w:jc w:val="center"/>
              <w:rPr>
                <w:rFonts w:ascii="宋体" w:hAnsi="宋体"/>
                <w:color w:val="000000" w:themeColor="text1"/>
                <w:kern w:val="0"/>
                <w:sz w:val="18"/>
                <w:szCs w:val="18"/>
              </w:rPr>
            </w:pPr>
            <w:r>
              <w:rPr>
                <w:rFonts w:hint="eastAsia" w:hAnsi="宋体"/>
                <w:color w:val="000000" w:themeColor="text1"/>
                <w:kern w:val="0"/>
                <w:sz w:val="18"/>
                <w:szCs w:val="18"/>
              </w:rPr>
              <w:t xml:space="preserve">年 </w:t>
            </w:r>
            <w:r>
              <w:rPr>
                <w:rFonts w:hAnsi="宋体"/>
                <w:color w:val="000000" w:themeColor="text1"/>
                <w:kern w:val="0"/>
                <w:sz w:val="18"/>
                <w:szCs w:val="18"/>
              </w:rPr>
              <w:t>月</w:t>
            </w:r>
            <w:r>
              <w:rPr>
                <w:rFonts w:hint="eastAsia" w:hAnsi="宋体"/>
                <w:color w:val="000000" w:themeColor="text1"/>
                <w:kern w:val="0"/>
                <w:sz w:val="18"/>
                <w:szCs w:val="18"/>
              </w:rPr>
              <w:t xml:space="preserve"> </w:t>
            </w:r>
            <w:r>
              <w:rPr>
                <w:rFonts w:hAnsi="宋体"/>
                <w:color w:val="000000" w:themeColor="text1"/>
                <w:kern w:val="0"/>
                <w:sz w:val="18"/>
                <w:szCs w:val="18"/>
              </w:rPr>
              <w:t>日</w:t>
            </w:r>
          </w:p>
        </w:tc>
        <w:tc>
          <w:tcPr>
            <w:tcW w:w="1703" w:type="dxa"/>
            <w:vAlign w:val="center"/>
          </w:tcPr>
          <w:p>
            <w:pPr>
              <w:spacing w:line="240" w:lineRule="exact"/>
              <w:jc w:val="center"/>
              <w:rPr>
                <w:rFonts w:ascii="宋体" w:hAnsi="宋体"/>
                <w:color w:val="000000" w:themeColor="text1"/>
                <w:kern w:val="0"/>
                <w:sz w:val="18"/>
                <w:szCs w:val="18"/>
              </w:rPr>
            </w:pPr>
            <w:r>
              <w:rPr>
                <w:rFonts w:hint="eastAsia" w:ascii="宋体" w:hAnsi="宋体"/>
                <w:color w:val="000000" w:themeColor="text1"/>
                <w:kern w:val="0"/>
                <w:sz w:val="18"/>
                <w:szCs w:val="18"/>
              </w:rPr>
              <w:t>订立时间：</w:t>
            </w:r>
          </w:p>
        </w:tc>
        <w:tc>
          <w:tcPr>
            <w:tcW w:w="2941" w:type="dxa"/>
            <w:vAlign w:val="center"/>
          </w:tcPr>
          <w:p>
            <w:pPr>
              <w:spacing w:line="240" w:lineRule="exact"/>
              <w:jc w:val="center"/>
              <w:rPr>
                <w:rFonts w:ascii="宋体" w:hAnsi="宋体"/>
                <w:color w:val="000000" w:themeColor="text1"/>
                <w:kern w:val="0"/>
                <w:sz w:val="18"/>
                <w:szCs w:val="18"/>
              </w:rPr>
            </w:pPr>
            <w:r>
              <w:rPr>
                <w:rFonts w:hint="eastAsia" w:hAnsi="宋体"/>
                <w:color w:val="000000" w:themeColor="text1"/>
                <w:kern w:val="0"/>
                <w:sz w:val="18"/>
                <w:szCs w:val="18"/>
              </w:rPr>
              <w:t xml:space="preserve">年 </w:t>
            </w:r>
            <w:r>
              <w:rPr>
                <w:rFonts w:hAnsi="宋体"/>
                <w:color w:val="000000" w:themeColor="text1"/>
                <w:kern w:val="0"/>
                <w:sz w:val="18"/>
                <w:szCs w:val="18"/>
              </w:rPr>
              <w:t>月</w:t>
            </w:r>
            <w:r>
              <w:rPr>
                <w:rFonts w:hint="eastAsia" w:hAnsi="宋体"/>
                <w:color w:val="000000" w:themeColor="text1"/>
                <w:kern w:val="0"/>
                <w:sz w:val="18"/>
                <w:szCs w:val="18"/>
              </w:rPr>
              <w:t xml:space="preserve"> </w:t>
            </w:r>
            <w:r>
              <w:rPr>
                <w:rFonts w:hAnsi="宋体"/>
                <w:color w:val="000000" w:themeColor="text1"/>
                <w:kern w:val="0"/>
                <w:sz w:val="18"/>
                <w:szCs w:val="18"/>
              </w:rPr>
              <w:t>日</w:t>
            </w:r>
          </w:p>
        </w:tc>
      </w:tr>
    </w:tbl>
    <w:p>
      <w:pPr>
        <w:rPr>
          <w:color w:val="000000" w:themeColor="text1"/>
        </w:rPr>
      </w:pPr>
    </w:p>
    <w:p>
      <w:pPr>
        <w:pStyle w:val="476"/>
        <w:spacing w:before="22" w:after="120"/>
        <w:ind w:right="120"/>
        <w:rPr>
          <w:color w:val="000000" w:themeColor="text1"/>
          <w:lang w:eastAsia="zh-CN"/>
        </w:rPr>
      </w:pPr>
    </w:p>
    <w:p>
      <w:pPr>
        <w:pStyle w:val="476"/>
        <w:spacing w:before="22" w:after="120"/>
        <w:ind w:right="120"/>
        <w:rPr>
          <w:color w:val="000000" w:themeColor="text1"/>
          <w:lang w:eastAsia="zh-CN"/>
        </w:rPr>
      </w:pPr>
    </w:p>
    <w:p>
      <w:pPr>
        <w:pStyle w:val="476"/>
        <w:spacing w:before="22" w:after="120"/>
        <w:ind w:right="120"/>
        <w:rPr>
          <w:color w:val="000000" w:themeColor="text1"/>
          <w:lang w:eastAsia="zh-CN"/>
        </w:rPr>
      </w:pPr>
    </w:p>
    <w:p>
      <w:pPr>
        <w:pStyle w:val="476"/>
        <w:spacing w:before="22" w:after="120"/>
        <w:ind w:right="120"/>
        <w:rPr>
          <w:color w:val="000000" w:themeColor="text1"/>
          <w:lang w:eastAsia="zh-CN"/>
        </w:rPr>
      </w:pPr>
    </w:p>
    <w:p>
      <w:pPr>
        <w:pStyle w:val="476"/>
        <w:spacing w:before="22" w:after="120"/>
        <w:ind w:right="120"/>
        <w:rPr>
          <w:color w:val="000000" w:themeColor="text1"/>
          <w:lang w:eastAsia="zh-CN"/>
        </w:rPr>
      </w:pPr>
    </w:p>
    <w:p>
      <w:pPr>
        <w:pStyle w:val="476"/>
        <w:spacing w:before="22" w:after="120"/>
        <w:ind w:right="120"/>
        <w:rPr>
          <w:color w:val="000000" w:themeColor="text1"/>
          <w:lang w:eastAsia="zh-CN"/>
        </w:rPr>
      </w:pPr>
    </w:p>
    <w:p>
      <w:pPr>
        <w:pStyle w:val="476"/>
        <w:spacing w:before="22" w:after="120"/>
        <w:ind w:right="120"/>
        <w:rPr>
          <w:color w:val="000000" w:themeColor="text1"/>
          <w:lang w:eastAsia="zh-CN"/>
        </w:rPr>
      </w:pPr>
    </w:p>
    <w:p>
      <w:pPr>
        <w:pStyle w:val="476"/>
        <w:spacing w:before="22" w:after="120"/>
        <w:ind w:right="120"/>
        <w:rPr>
          <w:color w:val="000000" w:themeColor="text1"/>
          <w:lang w:eastAsia="zh-CN"/>
        </w:rPr>
      </w:pPr>
    </w:p>
    <w:p>
      <w:pPr>
        <w:jc w:val="cente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廉洁从业责任书</w:t>
      </w:r>
    </w:p>
    <w:p>
      <w:pPr>
        <w:rPr>
          <w:rStyle w:val="479"/>
          <w:rFonts w:ascii="宋体" w:hAnsi="宋体" w:cs="宋体"/>
          <w:color w:val="000000" w:themeColor="text1"/>
          <w:kern w:val="0"/>
          <w:sz w:val="21"/>
          <w:szCs w:val="21"/>
          <w:lang w:val="zh-CN"/>
        </w:rPr>
      </w:pPr>
    </w:p>
    <w:p>
      <w:pPr>
        <w:tabs>
          <w:tab w:val="left" w:pos="4860"/>
          <w:tab w:val="left" w:pos="5580"/>
        </w:tabs>
        <w:snapToGrid w:val="0"/>
        <w:ind w:right="36" w:rightChars="15"/>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 xml:space="preserve">发包人（全称）：                                         </w:t>
      </w:r>
    </w:p>
    <w:p>
      <w:pPr>
        <w:tabs>
          <w:tab w:val="left" w:pos="4860"/>
          <w:tab w:val="left" w:pos="5580"/>
        </w:tabs>
        <w:snapToGrid w:val="0"/>
        <w:ind w:right="36" w:rightChars="15"/>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 xml:space="preserve">承包人（全称）：                                         </w:t>
      </w:r>
    </w:p>
    <w:p>
      <w:pPr>
        <w:tabs>
          <w:tab w:val="left" w:pos="4860"/>
          <w:tab w:val="left" w:pos="5580"/>
        </w:tabs>
        <w:snapToGrid w:val="0"/>
        <w:ind w:right="36" w:rightChars="15"/>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 xml:space="preserve">                                  </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为规范发包人和承包人的交易行为，维护公平竞争，预防商业贿赂，根据国家有关法律法规，经双方协商一致，签订本责任书。</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第一条  发包人和承包人共同责任</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（一）严格遵守国家有关法律法规以及廉洁从业的有关规定。</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（二）严格遵守商业道德和市场规则，共同营造公平公正的交易环境。</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（三）加强相关人员的管理和廉洁从业教育，自觉抵制不廉洁行为；在交易过程中发现对方及其工作人员存在违规违纪违法问题，应及时向监察部门或司法机关举报。</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第二条  发包人及其人员的责任</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（一）不得索要或接受承包人及其相关单位、人员提供的折扣费、中介费、佣金、礼金、有价证券、支付凭证、贵重物品等。</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（二）不得在承包人及其相关单位报销任何应由发包人或个人支付的费用。</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（三）不得违反规定在承包人及其相关单位投资入股、合伙经营，不得向承包人单位及人员借款或委托买卖股票、债券等。</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（四）不得要求、暗示和接受承包人及其相关单位和个人为其购买或装修住房、婚丧嫁娶、配偶和子女的工作安排或上学以及出国（境）、旅游等提供方便。</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（五）不得参加承包人及其相关单位、个人安排的可能影响公平交易的宴请、健身、娱乐等活动。</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（六）不得接受、占用或以明显低于市场价格购买、租用承包人及其相关单位和个人提供的通讯工具、交通工具和高档办公用品。</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（七）不得通过承包人及其相关单位为其配偶、子女及其他特定关系人谋取不正当利益。</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（八）不得违反规定在承包人或承包人相关单位兼职和领取兼职工资及报酬；不得利用发包人的商业秘密谋取个人私利，或将其提供泄漏给承包人及其它企业和个人。</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（九）不得利用职权和工作之便向承包人提出与交易无关的事项或要求。</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第三条  承包人及其人员的责任</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（一）不得向发包人及其人员提供折扣费、中介费、佣金、礼金、有价证券、支付凭证、贵重物品等。</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（二）不得为发包人及其人员报销应由发包人或个人支付的费用。</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（三）不得为发包人人员投资入股、个人借款或买卖股票、债券等提供方便。</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（四）不得为发包人人员购买或装修住房、婚丧嫁娶、配偶子女上学或工作安排以及出国（境）、旅游等提供方便。</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（五）不得为发包人人员安排有可能影响公平交易的宴请、健身、娱乐等活动。</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（六）不得为发包人及其人员购置或以明显低于市场价值提供通讯工具、交通工具和高档办公用品。</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（七）不得为发包人工作人员的配偶、子女及其他特定关系人谋取不正当利益提供方便。</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（八）不得违反规定安排发包人人员在承包人或承包人相关企业兼职和领取兼职工资及报酬；不得向发包人人员打探涉及发包人的商业秘密。</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（九）发包人对涉嫌不廉洁的商业行为进行调查时，承包人有配合发包人提供证据、作证的义务。</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第四条  违约责任</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（一）发包人及其人员有违反本责任书第一条、第二条规定的，按照管理权限，依据有关法律法规和规定给予有关人员纪律处分或组织处理；涉嫌犯罪的，移交司法机关追究其刑事责任。</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二）承包人及其人员有违反本责任书第一条、第三条规定的，根据情节和后果，发包人除有权要求承包人赔偿由此造成的发包人损失外，还将在中国石化系统内分别给予通报、限制或禁止与其交易的处理；涉嫌犯罪的，报请司法机关追究其刑事责任。</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第五条  本责任书经双方签署后生效。</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发包人和承包人签订交易合同的，本责任书作为交易合同附件，与交易合同具有同等法律效力；未签订交易合同的，本责任书独立有效。</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第六条  发包人和承包人及其人员在交易活动完成后，发生或发现违反本责任书规定的行为，按本责任书约定处理。</w:t>
      </w:r>
    </w:p>
    <w:p>
      <w:pPr>
        <w:ind w:firstLine="420" w:firstLineChars="200"/>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第七条  本责任书一式两份，发包人和承包人双方各执一份，具有同等法律效力。</w:t>
      </w:r>
    </w:p>
    <w:p>
      <w:pPr>
        <w:rPr>
          <w:rStyle w:val="479"/>
          <w:rFonts w:ascii="宋体" w:hAnsi="宋体" w:cs="宋体"/>
          <w:color w:val="000000" w:themeColor="text1"/>
          <w:kern w:val="0"/>
          <w:sz w:val="21"/>
          <w:szCs w:val="21"/>
          <w:lang w:val="zh-CN"/>
        </w:rPr>
      </w:pPr>
    </w:p>
    <w:p>
      <w:pPr>
        <w:rPr>
          <w:rStyle w:val="479"/>
          <w:rFonts w:ascii="宋体" w:hAnsi="宋体" w:cs="宋体"/>
          <w:color w:val="000000" w:themeColor="text1"/>
          <w:kern w:val="0"/>
          <w:sz w:val="21"/>
          <w:szCs w:val="21"/>
          <w:lang w:val="zh-CN"/>
        </w:rPr>
      </w:pPr>
    </w:p>
    <w:tbl>
      <w:tblPr>
        <w:tblStyle w:val="60"/>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 xml:space="preserve">发包人：(盖章)  </w:t>
            </w:r>
          </w:p>
          <w:p>
            <w:pPr>
              <w:rPr>
                <w:rStyle w:val="479"/>
                <w:rFonts w:cs="宋体"/>
                <w:color w:val="000000" w:themeColor="text1"/>
                <w:kern w:val="0"/>
                <w:sz w:val="21"/>
                <w:szCs w:val="21"/>
                <w:lang w:val="zh-CN"/>
              </w:rPr>
            </w:pPr>
          </w:p>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 xml:space="preserve"> </w:t>
            </w:r>
          </w:p>
        </w:tc>
        <w:tc>
          <w:tcPr>
            <w:tcW w:w="4261" w:type="dxa"/>
          </w:tcPr>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承包人：(盖章)</w:t>
            </w:r>
          </w:p>
          <w:p>
            <w:pPr>
              <w:rPr>
                <w:rStyle w:val="479"/>
                <w:rFonts w:cs="宋体"/>
                <w:color w:val="000000" w:themeColor="text1"/>
                <w:kern w:val="0"/>
                <w:sz w:val="21"/>
                <w:szCs w:val="21"/>
                <w:lang w:val="zh-CN"/>
              </w:rPr>
            </w:pPr>
          </w:p>
        </w:tc>
      </w:tr>
      <w:tr>
        <w:tblPrEx>
          <w:tblCellMar>
            <w:top w:w="0" w:type="dxa"/>
            <w:left w:w="108" w:type="dxa"/>
            <w:bottom w:w="0" w:type="dxa"/>
            <w:right w:w="108" w:type="dxa"/>
          </w:tblCellMar>
        </w:tblPrEx>
        <w:tc>
          <w:tcPr>
            <w:tcW w:w="4261" w:type="dxa"/>
          </w:tcPr>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法定代表人或</w:t>
            </w:r>
          </w:p>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委托代理人（签章）：</w:t>
            </w:r>
          </w:p>
          <w:p>
            <w:pPr>
              <w:rPr>
                <w:rStyle w:val="479"/>
                <w:rFonts w:cs="宋体"/>
                <w:color w:val="000000" w:themeColor="text1"/>
                <w:kern w:val="0"/>
                <w:sz w:val="21"/>
                <w:szCs w:val="21"/>
                <w:lang w:val="zh-CN"/>
              </w:rPr>
            </w:pPr>
          </w:p>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 xml:space="preserve">                   </w:t>
            </w:r>
          </w:p>
        </w:tc>
        <w:tc>
          <w:tcPr>
            <w:tcW w:w="4261" w:type="dxa"/>
          </w:tcPr>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法定代表人或</w:t>
            </w:r>
          </w:p>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委托代理人（签章）：</w:t>
            </w:r>
          </w:p>
          <w:p>
            <w:pPr>
              <w:rPr>
                <w:rStyle w:val="479"/>
                <w:rFonts w:cs="宋体"/>
                <w:color w:val="000000" w:themeColor="text1"/>
                <w:kern w:val="0"/>
                <w:sz w:val="21"/>
                <w:szCs w:val="21"/>
                <w:lang w:val="zh-CN"/>
              </w:rPr>
            </w:pPr>
            <w:r>
              <w:rPr>
                <w:rStyle w:val="479"/>
                <w:rFonts w:hint="eastAsia" w:cs="宋体"/>
                <w:color w:val="000000" w:themeColor="text1"/>
                <w:kern w:val="0"/>
                <w:sz w:val="21"/>
                <w:szCs w:val="21"/>
                <w:lang w:val="zh-CN"/>
              </w:rPr>
              <w:t xml:space="preserve">                     </w:t>
            </w:r>
          </w:p>
        </w:tc>
      </w:tr>
      <w:tr>
        <w:tblPrEx>
          <w:tblCellMar>
            <w:top w:w="0" w:type="dxa"/>
            <w:left w:w="108" w:type="dxa"/>
            <w:bottom w:w="0" w:type="dxa"/>
            <w:right w:w="108" w:type="dxa"/>
          </w:tblCellMar>
        </w:tblPrEx>
        <w:tc>
          <w:tcPr>
            <w:tcW w:w="4261" w:type="dxa"/>
          </w:tcPr>
          <w:p>
            <w:pPr>
              <w:rPr>
                <w:rStyle w:val="479"/>
                <w:rFonts w:cs="宋体"/>
                <w:color w:val="000000" w:themeColor="text1"/>
                <w:kern w:val="0"/>
                <w:sz w:val="21"/>
                <w:szCs w:val="21"/>
              </w:rPr>
            </w:pPr>
            <w:r>
              <w:rPr>
                <w:rStyle w:val="479"/>
                <w:rFonts w:hint="eastAsia" w:cs="宋体"/>
                <w:color w:val="000000" w:themeColor="text1"/>
                <w:kern w:val="0"/>
                <w:sz w:val="21"/>
                <w:szCs w:val="21"/>
              </w:rPr>
              <w:t>xxxx</w:t>
            </w:r>
            <w:r>
              <w:rPr>
                <w:rStyle w:val="479"/>
                <w:rFonts w:hint="eastAsia" w:cs="宋体"/>
                <w:color w:val="000000" w:themeColor="text1"/>
                <w:kern w:val="0"/>
                <w:sz w:val="21"/>
                <w:szCs w:val="21"/>
                <w:lang w:val="zh-CN"/>
              </w:rPr>
              <w:t>年</w:t>
            </w:r>
            <w:r>
              <w:rPr>
                <w:rStyle w:val="479"/>
                <w:rFonts w:hint="eastAsia" w:cs="宋体"/>
                <w:color w:val="000000" w:themeColor="text1"/>
                <w:kern w:val="0"/>
                <w:sz w:val="21"/>
                <w:szCs w:val="21"/>
              </w:rPr>
              <w:t>xx</w:t>
            </w:r>
            <w:r>
              <w:rPr>
                <w:rStyle w:val="479"/>
                <w:rFonts w:hint="eastAsia" w:cs="宋体"/>
                <w:color w:val="000000" w:themeColor="text1"/>
                <w:kern w:val="0"/>
                <w:sz w:val="21"/>
                <w:szCs w:val="21"/>
                <w:lang w:val="zh-CN"/>
              </w:rPr>
              <w:t>月</w:t>
            </w:r>
            <w:r>
              <w:rPr>
                <w:rStyle w:val="479"/>
                <w:rFonts w:hint="eastAsia" w:cs="宋体"/>
                <w:color w:val="000000" w:themeColor="text1"/>
                <w:kern w:val="0"/>
                <w:sz w:val="21"/>
                <w:szCs w:val="21"/>
              </w:rPr>
              <w:t>xx</w:t>
            </w:r>
            <w:r>
              <w:rPr>
                <w:rStyle w:val="479"/>
                <w:rFonts w:hint="eastAsia" w:cs="宋体"/>
                <w:color w:val="000000" w:themeColor="text1"/>
                <w:kern w:val="0"/>
                <w:sz w:val="21"/>
                <w:szCs w:val="21"/>
                <w:lang w:val="zh-CN"/>
              </w:rPr>
              <w:t>日</w:t>
            </w:r>
            <w:r>
              <w:rPr>
                <w:rStyle w:val="479"/>
                <w:rFonts w:cs="宋体"/>
                <w:color w:val="000000" w:themeColor="text1"/>
                <w:kern w:val="0"/>
                <w:sz w:val="21"/>
                <w:szCs w:val="21"/>
              </w:rPr>
              <w:t xml:space="preserve"> </w:t>
            </w:r>
          </w:p>
        </w:tc>
        <w:tc>
          <w:tcPr>
            <w:tcW w:w="4261" w:type="dxa"/>
          </w:tcPr>
          <w:p>
            <w:pPr>
              <w:rPr>
                <w:rStyle w:val="479"/>
                <w:rFonts w:cs="宋体"/>
                <w:color w:val="000000" w:themeColor="text1"/>
                <w:kern w:val="0"/>
                <w:sz w:val="21"/>
                <w:szCs w:val="21"/>
              </w:rPr>
            </w:pPr>
            <w:r>
              <w:rPr>
                <w:rStyle w:val="479"/>
                <w:rFonts w:hint="eastAsia" w:cs="宋体"/>
                <w:color w:val="000000" w:themeColor="text1"/>
                <w:kern w:val="0"/>
                <w:sz w:val="21"/>
                <w:szCs w:val="21"/>
              </w:rPr>
              <w:t>xxxx</w:t>
            </w:r>
            <w:r>
              <w:rPr>
                <w:rStyle w:val="479"/>
                <w:rFonts w:hint="eastAsia" w:cs="宋体"/>
                <w:color w:val="000000" w:themeColor="text1"/>
                <w:kern w:val="0"/>
                <w:sz w:val="21"/>
                <w:szCs w:val="21"/>
                <w:lang w:val="zh-CN"/>
              </w:rPr>
              <w:t>年</w:t>
            </w:r>
            <w:r>
              <w:rPr>
                <w:rStyle w:val="479"/>
                <w:rFonts w:hint="eastAsia" w:cs="宋体"/>
                <w:color w:val="000000" w:themeColor="text1"/>
                <w:kern w:val="0"/>
                <w:sz w:val="21"/>
                <w:szCs w:val="21"/>
              </w:rPr>
              <w:t>xx</w:t>
            </w:r>
            <w:r>
              <w:rPr>
                <w:rStyle w:val="479"/>
                <w:rFonts w:hint="eastAsia" w:cs="宋体"/>
                <w:color w:val="000000" w:themeColor="text1"/>
                <w:kern w:val="0"/>
                <w:sz w:val="21"/>
                <w:szCs w:val="21"/>
                <w:lang w:val="zh-CN"/>
              </w:rPr>
              <w:t>月</w:t>
            </w:r>
            <w:r>
              <w:rPr>
                <w:rStyle w:val="479"/>
                <w:rFonts w:hint="eastAsia" w:cs="宋体"/>
                <w:color w:val="000000" w:themeColor="text1"/>
                <w:kern w:val="0"/>
                <w:sz w:val="21"/>
                <w:szCs w:val="21"/>
              </w:rPr>
              <w:t>xx</w:t>
            </w:r>
            <w:r>
              <w:rPr>
                <w:rStyle w:val="479"/>
                <w:rFonts w:hint="eastAsia" w:cs="宋体"/>
                <w:color w:val="000000" w:themeColor="text1"/>
                <w:kern w:val="0"/>
                <w:sz w:val="21"/>
                <w:szCs w:val="21"/>
                <w:lang w:val="zh-CN"/>
              </w:rPr>
              <w:t>日</w:t>
            </w:r>
            <w:r>
              <w:rPr>
                <w:rStyle w:val="479"/>
                <w:rFonts w:cs="宋体"/>
                <w:color w:val="000000" w:themeColor="text1"/>
                <w:kern w:val="0"/>
                <w:sz w:val="21"/>
                <w:szCs w:val="21"/>
              </w:rPr>
              <w:t xml:space="preserve"> </w:t>
            </w:r>
          </w:p>
        </w:tc>
      </w:tr>
    </w:tbl>
    <w:p>
      <w:pPr>
        <w:pStyle w:val="476"/>
        <w:spacing w:before="22" w:after="120"/>
        <w:ind w:right="120"/>
        <w:rPr>
          <w:rStyle w:val="479"/>
          <w:color w:val="000000" w:themeColor="text1"/>
        </w:rPr>
      </w:pPr>
    </w:p>
    <w:p>
      <w:pPr>
        <w:pStyle w:val="2"/>
        <w:spacing w:line="360" w:lineRule="auto"/>
        <w:jc w:val="both"/>
        <w:rPr>
          <w:bCs w:val="0"/>
          <w:color w:val="000000" w:themeColor="text1"/>
        </w:rPr>
      </w:pPr>
      <w:r>
        <w:rPr>
          <w:rFonts w:hint="eastAsia"/>
          <w:bCs w:val="0"/>
          <w:color w:val="000000" w:themeColor="text1"/>
        </w:rPr>
        <w:t>第六章</w:t>
      </w:r>
      <w:bookmarkEnd w:id="196"/>
      <w:bookmarkEnd w:id="197"/>
      <w:r>
        <w:rPr>
          <w:bCs w:val="0"/>
          <w:color w:val="000000" w:themeColor="text1"/>
        </w:rPr>
        <w:t xml:space="preserve"> </w:t>
      </w:r>
      <w:bookmarkEnd w:id="198"/>
      <w:r>
        <w:rPr>
          <w:rFonts w:hint="eastAsia"/>
          <w:bCs w:val="0"/>
          <w:color w:val="000000" w:themeColor="text1"/>
        </w:rPr>
        <w:t>采购需求</w:t>
      </w:r>
      <w:bookmarkEnd w:id="199"/>
      <w:bookmarkStart w:id="211" w:name="_Toc373699556"/>
      <w:bookmarkStart w:id="212" w:name="_Toc439161033"/>
    </w:p>
    <w:p>
      <w:pPr>
        <w:outlineLvl w:val="1"/>
        <w:rPr>
          <w:b/>
          <w:color w:val="000000" w:themeColor="text1"/>
        </w:rPr>
      </w:pPr>
      <w:bookmarkStart w:id="213" w:name="_Toc511143056"/>
      <w:bookmarkStart w:id="214" w:name="_Toc439160071"/>
      <w:r>
        <w:rPr>
          <w:rFonts w:hint="eastAsia"/>
          <w:b/>
          <w:color w:val="000000" w:themeColor="text1"/>
        </w:rPr>
        <w:t>1.公开招标采购范围及内容</w:t>
      </w:r>
      <w:bookmarkEnd w:id="213"/>
    </w:p>
    <w:p>
      <w:pPr>
        <w:ind w:firstLine="480" w:firstLineChars="200"/>
        <w:rPr>
          <w:rFonts w:ascii="宋体" w:hAnsi="宋体"/>
          <w:color w:val="000000" w:themeColor="text1"/>
        </w:rPr>
      </w:pPr>
      <w:r>
        <w:rPr>
          <w:rFonts w:hint="eastAsia" w:ascii="宋体" w:hAnsi="宋体"/>
          <w:color w:val="000000" w:themeColor="text1"/>
        </w:rPr>
        <w:t>1.1工程名称：化机公司2022-2023年度土建、安装零星检维修项目</w:t>
      </w:r>
    </w:p>
    <w:p>
      <w:pPr>
        <w:ind w:firstLine="480" w:firstLineChars="200"/>
        <w:rPr>
          <w:rFonts w:ascii="宋体" w:hAnsi="宋体"/>
          <w:color w:val="000000" w:themeColor="text1"/>
        </w:rPr>
      </w:pP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2建设地点：中石化南京化工机械有限公司厂区内</w:t>
      </w:r>
    </w:p>
    <w:p>
      <w:pPr>
        <w:ind w:firstLine="480" w:firstLineChars="200"/>
        <w:rPr>
          <w:rFonts w:ascii="宋体" w:hAnsi="宋体"/>
          <w:color w:val="000000" w:themeColor="text1"/>
        </w:rPr>
      </w:pP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3标段划分及标段采购范围：一个标段。</w:t>
      </w:r>
    </w:p>
    <w:bookmarkEnd w:id="214"/>
    <w:p>
      <w:pPr>
        <w:outlineLvl w:val="1"/>
        <w:rPr>
          <w:b/>
          <w:color w:val="000000" w:themeColor="text1"/>
        </w:rPr>
      </w:pPr>
      <w:bookmarkStart w:id="215" w:name="_Toc439160072"/>
      <w:bookmarkStart w:id="216" w:name="_Toc511143057"/>
      <w:r>
        <w:rPr>
          <w:rFonts w:hint="eastAsia"/>
          <w:b/>
          <w:color w:val="000000" w:themeColor="text1"/>
        </w:rPr>
        <w:t>2</w:t>
      </w:r>
      <w:r>
        <w:rPr>
          <w:b/>
          <w:color w:val="000000" w:themeColor="text1"/>
        </w:rPr>
        <w:t>.</w:t>
      </w:r>
      <w:r>
        <w:rPr>
          <w:rFonts w:hint="eastAsia"/>
          <w:b/>
          <w:color w:val="000000" w:themeColor="text1"/>
        </w:rPr>
        <w:t>采购人提供的条件</w:t>
      </w:r>
      <w:bookmarkEnd w:id="215"/>
      <w:bookmarkEnd w:id="216"/>
    </w:p>
    <w:p>
      <w:pPr>
        <w:snapToGrid w:val="0"/>
        <w:ind w:firstLine="480" w:firstLineChars="200"/>
        <w:rPr>
          <w:rFonts w:ascii="宋体" w:hAnsi="宋体"/>
          <w:color w:val="000000" w:themeColor="text1"/>
        </w:rPr>
      </w:pPr>
      <w:r>
        <w:rPr>
          <w:rFonts w:hint="eastAsia" w:ascii="宋体" w:hAnsi="宋体"/>
          <w:color w:val="000000" w:themeColor="text1"/>
        </w:rPr>
        <w:t>2.1提供的施工场地及移交施工场地的期限：</w:t>
      </w:r>
      <w:r>
        <w:rPr>
          <w:rFonts w:ascii="宋体" w:hAnsi="宋体"/>
          <w:color w:val="000000" w:themeColor="text1"/>
        </w:rPr>
        <w:t xml:space="preserve"> </w:t>
      </w:r>
      <w:r>
        <w:rPr>
          <w:rFonts w:hint="eastAsia" w:ascii="宋体" w:hAnsi="宋体"/>
          <w:color w:val="000000" w:themeColor="text1"/>
        </w:rPr>
        <w:t>7天</w:t>
      </w:r>
    </w:p>
    <w:p>
      <w:pPr>
        <w:snapToGrid w:val="0"/>
        <w:ind w:firstLine="480" w:firstLineChars="200"/>
        <w:rPr>
          <w:rFonts w:ascii="宋体" w:hAnsi="宋体"/>
          <w:color w:val="000000" w:themeColor="text1"/>
        </w:rPr>
      </w:pPr>
      <w:r>
        <w:rPr>
          <w:rFonts w:hint="eastAsia" w:ascii="宋体" w:hAnsi="宋体"/>
          <w:color w:val="000000" w:themeColor="text1"/>
        </w:rPr>
        <w:t>2.2提供的施工用水电、施工排水等其他设施和条件，以及提供的时间：7天</w:t>
      </w:r>
    </w:p>
    <w:p>
      <w:pPr>
        <w:outlineLvl w:val="1"/>
        <w:rPr>
          <w:b/>
          <w:color w:val="000000" w:themeColor="text1"/>
        </w:rPr>
      </w:pPr>
      <w:bookmarkStart w:id="217" w:name="_Toc511143058"/>
      <w:r>
        <w:rPr>
          <w:rFonts w:hint="eastAsia"/>
          <w:b/>
          <w:color w:val="000000" w:themeColor="text1"/>
        </w:rPr>
        <w:t>3</w:t>
      </w:r>
      <w:r>
        <w:rPr>
          <w:b/>
          <w:color w:val="000000" w:themeColor="text1"/>
        </w:rPr>
        <w:t>.</w:t>
      </w:r>
      <w:r>
        <w:rPr>
          <w:rFonts w:hint="eastAsia"/>
          <w:b/>
          <w:color w:val="000000" w:themeColor="text1"/>
        </w:rPr>
        <w:t>工作界面划分</w:t>
      </w:r>
      <w:bookmarkEnd w:id="217"/>
    </w:p>
    <w:p>
      <w:pPr>
        <w:snapToGrid w:val="0"/>
        <w:ind w:firstLine="480" w:firstLineChars="200"/>
        <w:rPr>
          <w:rFonts w:ascii="宋体" w:hAnsi="宋体"/>
          <w:color w:val="000000" w:themeColor="text1"/>
        </w:rPr>
      </w:pPr>
      <w:r>
        <w:rPr>
          <w:rFonts w:hint="eastAsia" w:ascii="宋体" w:hAnsi="宋体"/>
          <w:color w:val="000000" w:themeColor="text1"/>
        </w:rPr>
        <w:t>3.1物质供应工作界面</w:t>
      </w:r>
    </w:p>
    <w:p>
      <w:pPr>
        <w:snapToGrid w:val="0"/>
        <w:ind w:firstLine="480" w:firstLineChars="200"/>
        <w:rPr>
          <w:rFonts w:ascii="宋体" w:hAnsi="宋体"/>
          <w:color w:val="000000" w:themeColor="text1"/>
        </w:rPr>
      </w:pPr>
      <w:r>
        <w:rPr>
          <w:rFonts w:hint="eastAsia" w:ascii="宋体" w:hAnsi="宋体"/>
          <w:color w:val="000000" w:themeColor="text1"/>
        </w:rPr>
        <w:t>3.1.1甲供物资及工作界面</w:t>
      </w:r>
    </w:p>
    <w:p>
      <w:pPr>
        <w:snapToGrid w:val="0"/>
        <w:ind w:firstLine="480" w:firstLineChars="200"/>
        <w:rPr>
          <w:rFonts w:ascii="宋体" w:hAnsi="宋体"/>
          <w:color w:val="000000" w:themeColor="text1"/>
        </w:rPr>
      </w:pPr>
      <w:r>
        <w:rPr>
          <w:rFonts w:hint="eastAsia" w:ascii="宋体" w:hAnsi="宋体"/>
          <w:color w:val="000000" w:themeColor="text1"/>
        </w:rPr>
        <w:t>（1）甲供物资内容：主要包括高压电缆、变压器、低压开关柜、配电柜等重要的电气材料。</w:t>
      </w:r>
    </w:p>
    <w:p>
      <w:pPr>
        <w:snapToGrid w:val="0"/>
        <w:ind w:firstLine="600" w:firstLineChars="250"/>
        <w:jc w:val="left"/>
        <w:rPr>
          <w:rFonts w:ascii="宋体" w:hAnsi="宋体"/>
          <w:color w:val="000000" w:themeColor="text1"/>
        </w:rPr>
      </w:pPr>
      <w:r>
        <w:rPr>
          <w:rFonts w:hint="eastAsia" w:ascii="宋体" w:hAnsi="宋体"/>
          <w:color w:val="000000" w:themeColor="text1"/>
        </w:rPr>
        <w:t>（2）承包商负责甲供物质卸车、接收、领料、装车、运输、保管等约定：由承包商负责</w:t>
      </w:r>
    </w:p>
    <w:p>
      <w:pPr>
        <w:snapToGrid w:val="0"/>
        <w:ind w:firstLine="600" w:firstLineChars="250"/>
        <w:jc w:val="left"/>
        <w:rPr>
          <w:rFonts w:ascii="宋体" w:hAnsi="宋体"/>
          <w:color w:val="000000" w:themeColor="text1"/>
        </w:rPr>
      </w:pPr>
      <w:r>
        <w:rPr>
          <w:rFonts w:hint="eastAsia" w:ascii="宋体" w:hAnsi="宋体"/>
          <w:color w:val="000000" w:themeColor="text1"/>
        </w:rPr>
        <w:t>（3）承包商负责设备基础等土建工程施工、预留预埋施工等内容及界面约定：有承包商负责所有施工。</w:t>
      </w:r>
    </w:p>
    <w:p>
      <w:pPr>
        <w:snapToGrid w:val="0"/>
        <w:ind w:firstLine="600" w:firstLineChars="250"/>
        <w:jc w:val="left"/>
        <w:rPr>
          <w:rFonts w:ascii="宋体" w:hAnsi="宋体"/>
          <w:color w:val="000000" w:themeColor="text1"/>
        </w:rPr>
      </w:pPr>
      <w:r>
        <w:rPr>
          <w:rFonts w:hint="eastAsia" w:ascii="宋体" w:hAnsi="宋体"/>
          <w:color w:val="000000" w:themeColor="text1"/>
        </w:rPr>
        <w:t>（4）承包商与设备安装工作界面约定：有承包商负责安装</w:t>
      </w:r>
    </w:p>
    <w:p>
      <w:pPr>
        <w:snapToGrid w:val="0"/>
        <w:ind w:firstLine="600" w:firstLineChars="250"/>
        <w:jc w:val="left"/>
        <w:rPr>
          <w:rFonts w:ascii="宋体" w:hAnsi="宋体"/>
          <w:color w:val="000000" w:themeColor="text1"/>
        </w:rPr>
      </w:pPr>
      <w:r>
        <w:rPr>
          <w:rFonts w:hint="eastAsia" w:ascii="宋体" w:hAnsi="宋体"/>
          <w:color w:val="000000" w:themeColor="text1"/>
        </w:rPr>
        <w:t xml:space="preserve">（5）承包商与物质供应商的其他工作界面约定：无 </w:t>
      </w:r>
    </w:p>
    <w:p>
      <w:pPr>
        <w:snapToGrid w:val="0"/>
        <w:ind w:firstLine="600" w:firstLineChars="250"/>
        <w:jc w:val="left"/>
        <w:rPr>
          <w:rFonts w:ascii="宋体" w:hAnsi="宋体"/>
          <w:color w:val="000000" w:themeColor="text1"/>
        </w:rPr>
      </w:pPr>
      <w:r>
        <w:rPr>
          <w:rFonts w:hint="eastAsia" w:ascii="宋体" w:hAnsi="宋体"/>
          <w:color w:val="000000" w:themeColor="text1"/>
        </w:rPr>
        <w:t>（6）需要承包商为物质供应商提供的其他条件：无</w:t>
      </w:r>
    </w:p>
    <w:p>
      <w:pPr>
        <w:snapToGrid w:val="0"/>
        <w:ind w:firstLine="480" w:firstLineChars="200"/>
        <w:jc w:val="left"/>
        <w:rPr>
          <w:rFonts w:ascii="宋体" w:hAnsi="宋体"/>
          <w:color w:val="000000" w:themeColor="text1"/>
        </w:rPr>
      </w:pPr>
      <w:r>
        <w:rPr>
          <w:rFonts w:hint="eastAsia" w:ascii="宋体" w:hAnsi="宋体"/>
          <w:color w:val="000000" w:themeColor="text1"/>
        </w:rPr>
        <w:t>3.1.2乙供物质：承包商负责除甲供物质外全部物资的采购。</w:t>
      </w:r>
    </w:p>
    <w:p>
      <w:pPr>
        <w:snapToGrid w:val="0"/>
        <w:ind w:firstLine="480" w:firstLineChars="200"/>
        <w:rPr>
          <w:rFonts w:ascii="宋体" w:hAnsi="宋体"/>
          <w:color w:val="000000" w:themeColor="text1"/>
        </w:rPr>
      </w:pPr>
      <w:r>
        <w:rPr>
          <w:rFonts w:hint="eastAsia" w:ascii="宋体" w:hAnsi="宋体"/>
          <w:color w:val="000000" w:themeColor="text1"/>
        </w:rPr>
        <w:t>3.2承包商与采购人直接发包的其他工程施工承包商的工作界面：参照采购人与其他供应商签订的技术协议。</w:t>
      </w:r>
    </w:p>
    <w:p>
      <w:pPr>
        <w:outlineLvl w:val="1"/>
        <w:rPr>
          <w:b/>
          <w:color w:val="000000" w:themeColor="text1"/>
        </w:rPr>
      </w:pPr>
      <w:bookmarkStart w:id="218" w:name="_Toc439160073"/>
      <w:bookmarkStart w:id="219" w:name="_Toc511143059"/>
      <w:r>
        <w:rPr>
          <w:rFonts w:hint="eastAsia"/>
          <w:b/>
          <w:color w:val="000000" w:themeColor="text1"/>
        </w:rPr>
        <w:t>4</w:t>
      </w:r>
      <w:r>
        <w:rPr>
          <w:b/>
          <w:color w:val="000000" w:themeColor="text1"/>
        </w:rPr>
        <w:t>.</w:t>
      </w:r>
      <w:r>
        <w:rPr>
          <w:rFonts w:hint="eastAsia"/>
          <w:b/>
          <w:color w:val="000000" w:themeColor="text1"/>
        </w:rPr>
        <w:t>工程目标</w:t>
      </w:r>
      <w:bookmarkEnd w:id="218"/>
      <w:bookmarkEnd w:id="219"/>
    </w:p>
    <w:p>
      <w:pPr>
        <w:ind w:left="480" w:leftChars="200"/>
        <w:rPr>
          <w:rFonts w:ascii="宋体" w:hAnsi="宋体"/>
          <w:color w:val="000000" w:themeColor="text1"/>
        </w:rPr>
      </w:pPr>
      <w:bookmarkStart w:id="220" w:name="_Toc511143060"/>
      <w:bookmarkStart w:id="221" w:name="_Toc514167129"/>
      <w:r>
        <w:rPr>
          <w:rFonts w:hint="eastAsia" w:ascii="宋体" w:hAnsi="宋体"/>
          <w:color w:val="000000" w:themeColor="text1"/>
        </w:rPr>
        <w:t>4.1 HSE目标</w:t>
      </w:r>
      <w:bookmarkEnd w:id="220"/>
      <w:bookmarkEnd w:id="221"/>
    </w:p>
    <w:p>
      <w:pPr>
        <w:snapToGrid w:val="0"/>
        <w:ind w:firstLine="480" w:firstLineChars="200"/>
        <w:rPr>
          <w:rFonts w:ascii="宋体" w:hAnsi="宋体"/>
          <w:color w:val="000000" w:themeColor="text1"/>
          <w:szCs w:val="18"/>
        </w:rPr>
      </w:pPr>
      <w:r>
        <w:rPr>
          <w:rFonts w:hint="eastAsia" w:ascii="宋体" w:hAnsi="宋体"/>
          <w:color w:val="000000" w:themeColor="text1"/>
          <w:szCs w:val="18"/>
        </w:rPr>
        <w:t>死亡事故为零，重伤事故为零，不发生重大责任事故，无较大及以上环境污染、生态破坏事件，无职业卫生急性中毒事故。</w:t>
      </w:r>
    </w:p>
    <w:p>
      <w:pPr>
        <w:ind w:left="480" w:leftChars="200"/>
        <w:rPr>
          <w:rFonts w:ascii="宋体" w:hAnsi="宋体"/>
          <w:color w:val="000000" w:themeColor="text1"/>
          <w:szCs w:val="18"/>
        </w:rPr>
      </w:pPr>
      <w:bookmarkStart w:id="222" w:name="_Toc511143061"/>
      <w:bookmarkStart w:id="223" w:name="_Toc514167130"/>
      <w:r>
        <w:rPr>
          <w:rFonts w:hint="eastAsia" w:ascii="宋体" w:hAnsi="宋体"/>
          <w:color w:val="000000" w:themeColor="text1"/>
        </w:rPr>
        <w:t>4.2 质量目标</w:t>
      </w:r>
      <w:bookmarkEnd w:id="222"/>
      <w:bookmarkEnd w:id="223"/>
    </w:p>
    <w:p>
      <w:pPr>
        <w:snapToGrid w:val="0"/>
        <w:ind w:firstLine="480" w:firstLineChars="200"/>
        <w:rPr>
          <w:rFonts w:ascii="宋体" w:hAnsi="宋体"/>
          <w:color w:val="000000" w:themeColor="text1"/>
        </w:rPr>
      </w:pPr>
      <w:r>
        <w:rPr>
          <w:rFonts w:hint="eastAsia" w:ascii="宋体" w:hAnsi="宋体"/>
          <w:color w:val="000000" w:themeColor="text1"/>
        </w:rPr>
        <w:t>工程物资采购合格率</w:t>
      </w:r>
      <w:r>
        <w:rPr>
          <w:rFonts w:ascii="宋体" w:hAnsi="宋体"/>
          <w:color w:val="000000" w:themeColor="text1"/>
        </w:rPr>
        <w:t>100%</w:t>
      </w:r>
      <w:r>
        <w:rPr>
          <w:rFonts w:hint="eastAsia" w:ascii="宋体" w:hAnsi="宋体"/>
          <w:color w:val="000000" w:themeColor="text1"/>
        </w:rPr>
        <w:t>。</w:t>
      </w:r>
    </w:p>
    <w:p>
      <w:pPr>
        <w:snapToGrid w:val="0"/>
        <w:ind w:firstLine="480" w:firstLineChars="200"/>
        <w:rPr>
          <w:rFonts w:ascii="宋体" w:hAnsi="宋体"/>
          <w:color w:val="000000" w:themeColor="text1"/>
          <w:u w:val="single"/>
        </w:rPr>
      </w:pPr>
      <w:r>
        <w:rPr>
          <w:rFonts w:hint="eastAsia" w:ascii="宋体" w:hAnsi="宋体"/>
          <w:color w:val="000000" w:themeColor="text1"/>
        </w:rPr>
        <w:t>工程质量：</w:t>
      </w:r>
      <w:r>
        <w:rPr>
          <w:rFonts w:ascii="宋体" w:hAnsi="宋体"/>
          <w:color w:val="000000" w:themeColor="text1"/>
        </w:rPr>
        <w:t>单位工程合格率100%，</w:t>
      </w:r>
      <w:r>
        <w:rPr>
          <w:rFonts w:hint="eastAsia" w:ascii="宋体" w:hAnsi="宋体"/>
          <w:color w:val="000000" w:themeColor="text1"/>
        </w:rPr>
        <w:t>安装单位工程优良率</w:t>
      </w:r>
      <w:r>
        <w:rPr>
          <w:rFonts w:ascii="宋体" w:hAnsi="宋体"/>
          <w:color w:val="000000" w:themeColor="text1"/>
        </w:rPr>
        <w:t>90%</w:t>
      </w:r>
      <w:r>
        <w:rPr>
          <w:rFonts w:hint="eastAsia" w:ascii="宋体" w:hAnsi="宋体"/>
          <w:color w:val="000000" w:themeColor="text1"/>
        </w:rPr>
        <w:t>以上。</w:t>
      </w:r>
    </w:p>
    <w:p>
      <w:pPr>
        <w:snapToGrid w:val="0"/>
        <w:ind w:firstLine="480" w:firstLineChars="200"/>
        <w:rPr>
          <w:rFonts w:ascii="宋体" w:hAnsi="宋体"/>
          <w:color w:val="000000" w:themeColor="text1"/>
          <w:u w:val="single"/>
        </w:rPr>
      </w:pPr>
      <w:r>
        <w:rPr>
          <w:rFonts w:hint="eastAsia" w:ascii="宋体" w:hAnsi="宋体"/>
          <w:color w:val="000000" w:themeColor="text1"/>
        </w:rPr>
        <w:t>其他：</w:t>
      </w:r>
    </w:p>
    <w:p>
      <w:pPr>
        <w:ind w:left="480" w:leftChars="200"/>
        <w:rPr>
          <w:rFonts w:ascii="宋体" w:hAnsi="宋体"/>
          <w:color w:val="000000" w:themeColor="text1"/>
        </w:rPr>
      </w:pPr>
      <w:bookmarkStart w:id="224" w:name="_Toc511143062"/>
      <w:bookmarkStart w:id="225" w:name="_Toc514167131"/>
      <w:r>
        <w:rPr>
          <w:rFonts w:hint="eastAsia" w:ascii="宋体" w:hAnsi="宋体"/>
          <w:color w:val="000000" w:themeColor="text1"/>
        </w:rPr>
        <w:t>4.3 工期及进度目标</w:t>
      </w:r>
      <w:bookmarkEnd w:id="224"/>
      <w:bookmarkEnd w:id="225"/>
    </w:p>
    <w:p>
      <w:pPr>
        <w:widowControl/>
        <w:snapToGrid w:val="0"/>
        <w:ind w:firstLine="480" w:firstLineChars="200"/>
        <w:jc w:val="left"/>
        <w:rPr>
          <w:rFonts w:ascii="宋体" w:hAnsi="宋体"/>
          <w:color w:val="000000" w:themeColor="text1"/>
        </w:rPr>
      </w:pPr>
      <w:bookmarkStart w:id="226" w:name="_Toc511143063"/>
      <w:bookmarkStart w:id="227" w:name="_Toc439160074"/>
      <w:r>
        <w:rPr>
          <w:rFonts w:hint="eastAsia" w:ascii="宋体" w:hAnsi="宋体"/>
          <w:color w:val="000000" w:themeColor="text1"/>
        </w:rPr>
        <w:t>总工期：1年</w:t>
      </w:r>
    </w:p>
    <w:p>
      <w:pPr>
        <w:snapToGrid w:val="0"/>
        <w:ind w:firstLine="480" w:firstLineChars="200"/>
        <w:rPr>
          <w:rFonts w:ascii="宋体" w:hAnsi="宋体"/>
          <w:color w:val="000000" w:themeColor="text1"/>
        </w:rPr>
      </w:pPr>
      <w:r>
        <w:rPr>
          <w:rFonts w:hint="eastAsia" w:ascii="宋体" w:hAnsi="宋体"/>
          <w:color w:val="000000" w:themeColor="text1"/>
        </w:rPr>
        <w:t>计划开工日期：2022年7月1日，实际开工日期以监理人发出的开工通知中载明的开工日期为准。</w:t>
      </w:r>
    </w:p>
    <w:p>
      <w:pPr>
        <w:outlineLvl w:val="1"/>
        <w:rPr>
          <w:b/>
          <w:color w:val="000000" w:themeColor="text1"/>
        </w:rPr>
      </w:pPr>
      <w:r>
        <w:rPr>
          <w:rFonts w:hint="eastAsia"/>
          <w:b/>
          <w:color w:val="000000" w:themeColor="text1"/>
        </w:rPr>
        <w:t>5</w:t>
      </w:r>
      <w:r>
        <w:rPr>
          <w:b/>
          <w:color w:val="000000" w:themeColor="text1"/>
        </w:rPr>
        <w:t>.</w:t>
      </w:r>
      <w:r>
        <w:rPr>
          <w:rFonts w:hint="eastAsia"/>
          <w:b/>
          <w:color w:val="000000" w:themeColor="text1"/>
        </w:rPr>
        <w:t>工程建设管理</w:t>
      </w:r>
      <w:bookmarkEnd w:id="226"/>
      <w:bookmarkEnd w:id="227"/>
    </w:p>
    <w:p>
      <w:pPr>
        <w:snapToGrid w:val="0"/>
        <w:ind w:firstLine="480" w:firstLineChars="200"/>
        <w:rPr>
          <w:rFonts w:ascii="宋体" w:hAnsi="宋体"/>
          <w:color w:val="000000" w:themeColor="text1"/>
          <w:szCs w:val="18"/>
        </w:rPr>
      </w:pPr>
      <w:r>
        <w:rPr>
          <w:rFonts w:hint="eastAsia" w:ascii="宋体" w:hAnsi="宋体"/>
          <w:color w:val="000000" w:themeColor="text1"/>
          <w:szCs w:val="18"/>
        </w:rPr>
        <w:t>承包商应按规范标准的要求，建立覆盖工程施工、试运行全过程的项目管理体系，并进行控制，确保项目和服务质量。</w:t>
      </w:r>
    </w:p>
    <w:p>
      <w:pPr>
        <w:ind w:left="480" w:leftChars="200"/>
        <w:rPr>
          <w:rFonts w:ascii="宋体" w:hAnsi="宋体"/>
          <w:color w:val="000000" w:themeColor="text1"/>
        </w:rPr>
      </w:pPr>
      <w:bookmarkStart w:id="228" w:name="_Toc514167133"/>
      <w:bookmarkStart w:id="229" w:name="_Toc511143064"/>
      <w:r>
        <w:rPr>
          <w:rFonts w:hint="eastAsia" w:ascii="宋体" w:hAnsi="宋体"/>
          <w:color w:val="000000" w:themeColor="text1"/>
        </w:rPr>
        <w:t>5.1 项目管理机构</w:t>
      </w:r>
      <w:bookmarkEnd w:id="228"/>
      <w:bookmarkEnd w:id="229"/>
    </w:p>
    <w:p>
      <w:pPr>
        <w:snapToGrid w:val="0"/>
        <w:ind w:firstLine="480" w:firstLineChars="200"/>
        <w:rPr>
          <w:rFonts w:ascii="宋体" w:hAnsi="宋体"/>
          <w:color w:val="000000" w:themeColor="text1"/>
          <w:szCs w:val="18"/>
        </w:rPr>
      </w:pPr>
      <w:r>
        <w:rPr>
          <w:rFonts w:hint="eastAsia" w:ascii="宋体" w:hAnsi="宋体"/>
          <w:color w:val="000000" w:themeColor="text1"/>
          <w:szCs w:val="18"/>
        </w:rPr>
        <w:t>承包商应建立与工程施工总承包项目相适应的项目管理组织，行使项目管理职能。明确其拟派的施工项目组织机构及主要人员，并提供：项目管理组织机构和人员配置情况，关键人员及特殊工种人员的相关资格证书。</w:t>
      </w:r>
    </w:p>
    <w:p>
      <w:pPr>
        <w:snapToGrid w:val="0"/>
        <w:ind w:firstLine="480" w:firstLineChars="200"/>
        <w:rPr>
          <w:rFonts w:ascii="宋体" w:hAnsi="宋体"/>
          <w:color w:val="000000" w:themeColor="text1"/>
        </w:rPr>
      </w:pPr>
      <w:r>
        <w:rPr>
          <w:rFonts w:hint="eastAsia" w:ascii="宋体" w:hAnsi="宋体"/>
          <w:color w:val="000000" w:themeColor="text1"/>
        </w:rPr>
        <w:t>5.2施工管理</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5.2.1在施工前，采购人应组织设计交底、</w:t>
      </w:r>
      <w:r>
        <w:rPr>
          <w:rFonts w:ascii="宋体" w:hAnsi="宋体"/>
          <w:color w:val="000000" w:themeColor="text1"/>
          <w:szCs w:val="18"/>
        </w:rPr>
        <w:t>施工图</w:t>
      </w:r>
      <w:r>
        <w:rPr>
          <w:rFonts w:hint="eastAsia" w:ascii="宋体" w:hAnsi="宋体"/>
          <w:color w:val="000000" w:themeColor="text1"/>
          <w:szCs w:val="18"/>
        </w:rPr>
        <w:t>设计或详细工程设计</w:t>
      </w:r>
      <w:r>
        <w:rPr>
          <w:rFonts w:ascii="宋体" w:hAnsi="宋体"/>
          <w:color w:val="000000" w:themeColor="text1"/>
          <w:szCs w:val="18"/>
        </w:rPr>
        <w:t>审查、</w:t>
      </w:r>
      <w:r>
        <w:rPr>
          <w:rFonts w:hint="eastAsia" w:ascii="宋体" w:hAnsi="宋体"/>
          <w:color w:val="000000" w:themeColor="text1"/>
          <w:szCs w:val="18"/>
        </w:rPr>
        <w:t>培训等，说明设计意图，解释设计文件，明确设计对施工的技术、质量、安全和标准等要求。</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5.2.2承包商</w:t>
      </w:r>
      <w:r>
        <w:rPr>
          <w:rFonts w:ascii="宋体" w:hAnsi="宋体"/>
          <w:color w:val="000000" w:themeColor="text1"/>
          <w:szCs w:val="18"/>
        </w:rPr>
        <w:t>应制定</w:t>
      </w:r>
      <w:r>
        <w:rPr>
          <w:rFonts w:hint="eastAsia" w:ascii="宋体" w:hAnsi="宋体"/>
          <w:color w:val="000000" w:themeColor="text1"/>
          <w:szCs w:val="18"/>
        </w:rPr>
        <w:t>施工质量计划/施工组织</w:t>
      </w:r>
      <w:r>
        <w:rPr>
          <w:rFonts w:ascii="宋体" w:hAnsi="宋体"/>
          <w:color w:val="000000" w:themeColor="text1"/>
          <w:szCs w:val="18"/>
        </w:rPr>
        <w:t>设计</w:t>
      </w:r>
      <w:r>
        <w:rPr>
          <w:rFonts w:hint="eastAsia" w:ascii="宋体" w:hAnsi="宋体"/>
          <w:color w:val="000000" w:themeColor="text1"/>
          <w:szCs w:val="18"/>
        </w:rPr>
        <w:t>，明确施工质量标准和控制目标。</w:t>
      </w:r>
    </w:p>
    <w:p>
      <w:pPr>
        <w:snapToGrid w:val="0"/>
        <w:ind w:firstLine="480" w:firstLineChars="200"/>
        <w:rPr>
          <w:color w:val="000000" w:themeColor="text1"/>
          <w:szCs w:val="20"/>
        </w:rPr>
      </w:pPr>
      <w:r>
        <w:rPr>
          <w:rFonts w:hint="eastAsia" w:ascii="宋体" w:hAnsi="宋体"/>
          <w:color w:val="000000" w:themeColor="text1"/>
          <w:szCs w:val="18"/>
        </w:rPr>
        <w:t>5.2.3对施工所需的人员、施工机具设施、</w:t>
      </w:r>
      <w:r>
        <w:rPr>
          <w:color w:val="000000" w:themeColor="text1"/>
          <w:szCs w:val="20"/>
        </w:rPr>
        <w:t>检测设备进行</w:t>
      </w:r>
      <w:r>
        <w:rPr>
          <w:rFonts w:hint="eastAsia"/>
          <w:color w:val="000000" w:themeColor="text1"/>
          <w:szCs w:val="20"/>
        </w:rPr>
        <w:t>确认，</w:t>
      </w:r>
      <w:r>
        <w:rPr>
          <w:color w:val="000000" w:themeColor="text1"/>
          <w:szCs w:val="20"/>
        </w:rPr>
        <w:t>按规定向监理方或采购人进行报审、报验。</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5.2.4</w:t>
      </w:r>
      <w:r>
        <w:rPr>
          <w:color w:val="000000" w:themeColor="text1"/>
          <w:szCs w:val="20"/>
        </w:rPr>
        <w:t>确认项目施工已具备开工条件，按规定提出开工申请，经</w:t>
      </w:r>
      <w:r>
        <w:rPr>
          <w:rFonts w:hint="eastAsia" w:ascii="宋体" w:hAnsi="宋体"/>
          <w:color w:val="000000" w:themeColor="text1"/>
          <w:szCs w:val="21"/>
        </w:rPr>
        <w:t>采购人/监理人</w:t>
      </w:r>
      <w:r>
        <w:rPr>
          <w:color w:val="000000" w:themeColor="text1"/>
          <w:szCs w:val="20"/>
        </w:rPr>
        <w:t>批准后方可开工。</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5.2.5承包商应确保施工作业过程中</w:t>
      </w:r>
      <w:r>
        <w:rPr>
          <w:rFonts w:ascii="宋体" w:hAnsi="宋体"/>
          <w:color w:val="000000" w:themeColor="text1"/>
          <w:szCs w:val="18"/>
        </w:rPr>
        <w:t>正确使用</w:t>
      </w:r>
      <w:r>
        <w:rPr>
          <w:rFonts w:hint="eastAsia" w:ascii="宋体" w:hAnsi="宋体"/>
          <w:color w:val="000000" w:themeColor="text1"/>
          <w:szCs w:val="18"/>
        </w:rPr>
        <w:t>设计</w:t>
      </w:r>
      <w:r>
        <w:rPr>
          <w:rFonts w:ascii="宋体" w:hAnsi="宋体"/>
          <w:color w:val="000000" w:themeColor="text1"/>
          <w:szCs w:val="18"/>
        </w:rPr>
        <w:t>图纸、设计文件</w:t>
      </w:r>
      <w:r>
        <w:rPr>
          <w:rFonts w:hint="eastAsia" w:ascii="宋体" w:hAnsi="宋体"/>
          <w:color w:val="000000" w:themeColor="text1"/>
          <w:szCs w:val="18"/>
        </w:rPr>
        <w:t>、</w:t>
      </w:r>
      <w:r>
        <w:rPr>
          <w:rFonts w:ascii="宋体" w:hAnsi="宋体"/>
          <w:color w:val="000000" w:themeColor="text1"/>
          <w:szCs w:val="18"/>
        </w:rPr>
        <w:t>验收标准</w:t>
      </w:r>
      <w:r>
        <w:rPr>
          <w:rFonts w:hint="eastAsia" w:ascii="宋体" w:hAnsi="宋体"/>
          <w:color w:val="000000" w:themeColor="text1"/>
          <w:szCs w:val="18"/>
        </w:rPr>
        <w:t>、</w:t>
      </w:r>
      <w:r>
        <w:rPr>
          <w:rFonts w:ascii="宋体" w:hAnsi="宋体"/>
          <w:color w:val="000000" w:themeColor="text1"/>
          <w:szCs w:val="18"/>
        </w:rPr>
        <w:t>适用的施工工艺标准</w:t>
      </w:r>
      <w:r>
        <w:rPr>
          <w:rFonts w:hint="eastAsia" w:ascii="宋体" w:hAnsi="宋体"/>
          <w:color w:val="000000" w:themeColor="text1"/>
          <w:szCs w:val="18"/>
        </w:rPr>
        <w:t>和</w:t>
      </w:r>
      <w:r>
        <w:rPr>
          <w:rFonts w:ascii="宋体" w:hAnsi="宋体"/>
          <w:color w:val="000000" w:themeColor="text1"/>
          <w:szCs w:val="18"/>
        </w:rPr>
        <w:t>作业指导书</w:t>
      </w:r>
      <w:r>
        <w:rPr>
          <w:rFonts w:hint="eastAsia" w:ascii="宋体" w:hAnsi="宋体"/>
          <w:color w:val="000000" w:themeColor="text1"/>
          <w:szCs w:val="18"/>
        </w:rPr>
        <w:t>等施工作业指导性文件，对</w:t>
      </w:r>
      <w:r>
        <w:rPr>
          <w:rFonts w:ascii="宋体" w:hAnsi="宋体"/>
          <w:color w:val="000000" w:themeColor="text1"/>
          <w:szCs w:val="18"/>
        </w:rPr>
        <w:t>施工过程质量进行控制</w:t>
      </w:r>
      <w:r>
        <w:rPr>
          <w:rFonts w:hint="eastAsia" w:ascii="宋体" w:hAnsi="宋体"/>
          <w:color w:val="000000" w:themeColor="text1"/>
          <w:szCs w:val="18"/>
        </w:rPr>
        <w:t>，并对特殊过程和关键工序的识别与质量控制。</w:t>
      </w:r>
    </w:p>
    <w:p>
      <w:pPr>
        <w:snapToGrid w:val="0"/>
        <w:ind w:firstLine="480" w:firstLineChars="200"/>
        <w:rPr>
          <w:color w:val="000000" w:themeColor="text1"/>
          <w:szCs w:val="20"/>
        </w:rPr>
      </w:pPr>
      <w:r>
        <w:rPr>
          <w:rFonts w:hint="eastAsia" w:ascii="宋体" w:hAnsi="宋体"/>
          <w:color w:val="000000" w:themeColor="text1"/>
          <w:szCs w:val="18"/>
        </w:rPr>
        <w:t>5.2.6承包商应按采购人对交工技术文件的要求规定对项目实施过程中形成的技术文件（质量记录）进行收集、标识、保存、整理和移交。</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5.2.7按照本</w:t>
      </w:r>
      <w:r>
        <w:rPr>
          <w:rFonts w:ascii="宋体" w:hAnsi="宋体"/>
          <w:color w:val="000000" w:themeColor="text1"/>
          <w:szCs w:val="18"/>
        </w:rPr>
        <w:t>章</w:t>
      </w:r>
      <w:r>
        <w:rPr>
          <w:rFonts w:hint="eastAsia" w:ascii="宋体" w:hAnsi="宋体"/>
          <w:color w:val="000000" w:themeColor="text1"/>
          <w:szCs w:val="18"/>
        </w:rPr>
        <w:t>5.7</w:t>
      </w:r>
      <w:r>
        <w:rPr>
          <w:rFonts w:ascii="宋体" w:hAnsi="宋体"/>
          <w:color w:val="000000" w:themeColor="text1"/>
          <w:szCs w:val="18"/>
        </w:rPr>
        <w:t>分包管理规定对分包进行控制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5.2.8按规定组织或参加工程质量验收。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5.2.9施工过程中发生质量事故，应按有关规定进行处理。</w:t>
      </w:r>
    </w:p>
    <w:p>
      <w:pPr>
        <w:snapToGrid w:val="0"/>
        <w:ind w:firstLine="480" w:firstLineChars="200"/>
        <w:rPr>
          <w:rFonts w:ascii="宋体" w:hAnsi="宋体"/>
          <w:color w:val="000000" w:themeColor="text1"/>
        </w:rPr>
      </w:pPr>
      <w:r>
        <w:rPr>
          <w:rFonts w:hint="eastAsia" w:ascii="宋体" w:hAnsi="宋体"/>
          <w:color w:val="000000" w:themeColor="text1"/>
        </w:rPr>
        <w:t>5.3工程物资采购及管理</w:t>
      </w:r>
    </w:p>
    <w:p>
      <w:pPr>
        <w:snapToGrid w:val="0"/>
        <w:ind w:firstLine="480" w:firstLineChars="200"/>
        <w:rPr>
          <w:rFonts w:ascii="宋体" w:hAnsi="宋体"/>
          <w:color w:val="000000" w:themeColor="text1"/>
        </w:rPr>
      </w:pPr>
      <w:r>
        <w:rPr>
          <w:rFonts w:hint="eastAsia" w:ascii="宋体" w:hAnsi="宋体"/>
          <w:color w:val="000000" w:themeColor="text1"/>
        </w:rPr>
        <w:t>5.3.1承包商应对项目采购工作进行项目采购策划，并编制项目采购计划，报采购人审查，批准后实施。</w:t>
      </w:r>
    </w:p>
    <w:p>
      <w:pPr>
        <w:snapToGrid w:val="0"/>
        <w:ind w:firstLine="480" w:firstLineChars="200"/>
        <w:rPr>
          <w:rFonts w:ascii="宋体" w:hAnsi="宋体"/>
          <w:color w:val="000000" w:themeColor="text1"/>
        </w:rPr>
      </w:pPr>
      <w:r>
        <w:rPr>
          <w:rFonts w:hint="eastAsia" w:ascii="宋体" w:hAnsi="宋体"/>
          <w:color w:val="000000" w:themeColor="text1"/>
        </w:rPr>
        <w:t>5.3.2承包商应对供应方进行评价，合理选择材料设备和构配件的供应方，并根据采购计划订立采购合同。</w:t>
      </w:r>
    </w:p>
    <w:p>
      <w:pPr>
        <w:snapToGrid w:val="0"/>
        <w:ind w:firstLine="480" w:firstLineChars="200"/>
        <w:rPr>
          <w:rFonts w:ascii="宋体" w:hAnsi="宋体"/>
          <w:color w:val="000000" w:themeColor="text1"/>
        </w:rPr>
      </w:pPr>
      <w:r>
        <w:rPr>
          <w:rFonts w:hint="eastAsia" w:ascii="宋体" w:hAnsi="宋体"/>
          <w:color w:val="000000" w:themeColor="text1"/>
        </w:rPr>
        <w:t>5.3.3承包商应对材料、设备、构配件进行验收，验收的过程、记录和标示应符合国家、行业及采购人的有关规定。未经验收的材料、设备、构配件不得用于工程施工。</w:t>
      </w:r>
    </w:p>
    <w:p>
      <w:pPr>
        <w:snapToGrid w:val="0"/>
        <w:ind w:firstLine="480" w:firstLineChars="200"/>
        <w:rPr>
          <w:rFonts w:ascii="宋体" w:hAnsi="宋体"/>
          <w:color w:val="000000" w:themeColor="text1"/>
        </w:rPr>
      </w:pPr>
      <w:r>
        <w:rPr>
          <w:rFonts w:hint="eastAsia" w:ascii="宋体" w:hAnsi="宋体"/>
          <w:color w:val="000000" w:themeColor="text1"/>
        </w:rPr>
        <w:t>5.3.4承包商应明确材料、设备、构配件的现场管理要求，并按要求进行适宜的搬运、贮存、保管、防护和标识。</w:t>
      </w:r>
    </w:p>
    <w:p>
      <w:pPr>
        <w:snapToGrid w:val="0"/>
        <w:ind w:firstLine="480" w:firstLineChars="200"/>
        <w:rPr>
          <w:rFonts w:ascii="宋体" w:hAnsi="宋体"/>
          <w:color w:val="000000" w:themeColor="text1"/>
        </w:rPr>
      </w:pPr>
      <w:r>
        <w:rPr>
          <w:rFonts w:hint="eastAsia" w:ascii="宋体" w:hAnsi="宋体"/>
          <w:color w:val="000000" w:themeColor="text1"/>
        </w:rPr>
        <w:t>5.3.5承包商应按照有关规定和标准对采购人提供的材料、设备和构配件进行验收，在验收、施工安装、使用过程中出现的问题，作好记录并及时向采购人报告，按照规定处理。</w:t>
      </w:r>
    </w:p>
    <w:p>
      <w:pPr>
        <w:snapToGrid w:val="0"/>
        <w:ind w:firstLine="480" w:firstLineChars="200"/>
        <w:rPr>
          <w:rFonts w:ascii="宋体" w:hAnsi="宋体"/>
          <w:color w:val="000000" w:themeColor="text1"/>
        </w:rPr>
      </w:pPr>
      <w:r>
        <w:rPr>
          <w:rFonts w:hint="eastAsia" w:ascii="宋体" w:hAnsi="宋体"/>
          <w:color w:val="000000" w:themeColor="text1"/>
        </w:rPr>
        <w:t>5.4进度控制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5.4.1项目实施过程中，项目控制人员应对进度实施情况进行跟踪、数据采集，并应根据进度计划，优化资源配置，采用检查、比较、分析和纠偏等方法和措施，对计划进行动态控制，将进度控制在项目批准的进度计划以内。</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5.4.2 对工程项目进度执行情况进行跟踪和检测，发现进度偏差，分析偏差产生的原因及对项目进度目标的影响程度，对可能的进度延迟进行预警，提出纠偏建议，采取适当的措施，使进度控制在允许的偏差范围内。</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5.4.3</w:t>
      </w:r>
      <w:r>
        <w:rPr>
          <w:rFonts w:ascii="宋体" w:hAnsi="宋体"/>
          <w:color w:val="000000" w:themeColor="text1"/>
          <w:szCs w:val="18"/>
        </w:rPr>
        <w:t xml:space="preserve"> </w:t>
      </w:r>
      <w:r>
        <w:rPr>
          <w:rFonts w:hint="eastAsia" w:ascii="宋体" w:hAnsi="宋体"/>
          <w:color w:val="000000" w:themeColor="text1"/>
          <w:szCs w:val="18"/>
        </w:rPr>
        <w:t>承包商应定期发布项目进度执行报告。</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5.4.4</w:t>
      </w:r>
      <w:r>
        <w:rPr>
          <w:rFonts w:hint="eastAsia" w:ascii="宋体" w:hAnsi="宋体"/>
          <w:color w:val="000000" w:themeColor="text1"/>
        </w:rPr>
        <w:t>承包商</w:t>
      </w:r>
      <w:r>
        <w:rPr>
          <w:rFonts w:hint="eastAsia" w:ascii="宋体" w:hAnsi="宋体"/>
          <w:color w:val="000000" w:themeColor="text1"/>
          <w:szCs w:val="18"/>
        </w:rPr>
        <w:t>应按合同变更程序进行计划工期的变更管理，根据合同变更的内容和对计划工期、费用的要求，预测计划工期的变更对质量、安全、职业健康和环境保护等的影响，并实施和控制。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 xml:space="preserve">5.4.5 </w:t>
      </w:r>
      <w:r>
        <w:rPr>
          <w:rFonts w:hint="eastAsia" w:ascii="宋体" w:hAnsi="宋体"/>
          <w:color w:val="000000" w:themeColor="text1"/>
        </w:rPr>
        <w:t>承包商</w:t>
      </w:r>
      <w:r>
        <w:rPr>
          <w:rFonts w:ascii="宋体" w:hAnsi="宋体"/>
          <w:color w:val="000000" w:themeColor="text1"/>
          <w:szCs w:val="18"/>
        </w:rPr>
        <w:t>应</w:t>
      </w:r>
      <w:r>
        <w:rPr>
          <w:rFonts w:hint="eastAsia" w:ascii="宋体" w:hAnsi="宋体"/>
          <w:color w:val="000000" w:themeColor="text1"/>
          <w:szCs w:val="18"/>
        </w:rPr>
        <w:t>制定项目进度变更</w:t>
      </w:r>
      <w:r>
        <w:rPr>
          <w:rFonts w:ascii="宋体" w:hAnsi="宋体"/>
          <w:color w:val="000000" w:themeColor="text1"/>
          <w:szCs w:val="18"/>
        </w:rPr>
        <w:t>管理</w:t>
      </w:r>
      <w:r>
        <w:rPr>
          <w:rFonts w:hint="eastAsia" w:ascii="宋体" w:hAnsi="宋体"/>
          <w:color w:val="000000" w:themeColor="text1"/>
          <w:szCs w:val="18"/>
        </w:rPr>
        <w:t>规定</w:t>
      </w:r>
      <w:r>
        <w:rPr>
          <w:rFonts w:ascii="宋体" w:hAnsi="宋体"/>
          <w:color w:val="000000" w:themeColor="text1"/>
          <w:szCs w:val="18"/>
        </w:rPr>
        <w:t>，</w:t>
      </w:r>
      <w:r>
        <w:rPr>
          <w:rFonts w:hint="eastAsia" w:ascii="宋体" w:hAnsi="宋体"/>
          <w:color w:val="000000" w:themeColor="text1"/>
          <w:szCs w:val="18"/>
        </w:rPr>
        <w:t>当项目活动进度拖延时，分析进度的推迟是否影响计划工期，项目经理做出是否修改计划工期的决定，当修改后的计划工期大于合同工期时，应报采购人确认。</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5.4.6施工进度控制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（1）承包商</w:t>
      </w:r>
      <w:r>
        <w:rPr>
          <w:rFonts w:ascii="宋体" w:hAnsi="宋体"/>
          <w:color w:val="000000" w:themeColor="text1"/>
          <w:szCs w:val="18"/>
        </w:rPr>
        <w:t>应</w:t>
      </w:r>
      <w:r>
        <w:rPr>
          <w:rFonts w:hint="eastAsia" w:ascii="宋体" w:hAnsi="宋体"/>
          <w:color w:val="000000" w:themeColor="text1"/>
          <w:szCs w:val="18"/>
        </w:rPr>
        <w:t>编制</w:t>
      </w:r>
      <w:r>
        <w:rPr>
          <w:rFonts w:ascii="宋体" w:hAnsi="宋体"/>
          <w:color w:val="000000" w:themeColor="text1"/>
          <w:szCs w:val="18"/>
        </w:rPr>
        <w:t>施工进度计划</w:t>
      </w:r>
      <w:r>
        <w:rPr>
          <w:rFonts w:hint="eastAsia" w:ascii="宋体" w:hAnsi="宋体"/>
          <w:color w:val="000000" w:themeColor="text1"/>
          <w:szCs w:val="18"/>
        </w:rPr>
        <w:t>应</w:t>
      </w:r>
      <w:r>
        <w:rPr>
          <w:rFonts w:ascii="宋体" w:hAnsi="宋体"/>
          <w:color w:val="000000" w:themeColor="text1"/>
          <w:szCs w:val="18"/>
        </w:rPr>
        <w:t>确定进度控制目标</w:t>
      </w:r>
      <w:r>
        <w:rPr>
          <w:rFonts w:hint="eastAsia" w:ascii="宋体" w:hAnsi="宋体"/>
          <w:color w:val="000000" w:themeColor="text1"/>
          <w:szCs w:val="18"/>
        </w:rPr>
        <w:t>、</w:t>
      </w:r>
      <w:r>
        <w:rPr>
          <w:rFonts w:ascii="宋体" w:hAnsi="宋体"/>
          <w:color w:val="000000" w:themeColor="text1"/>
          <w:szCs w:val="18"/>
        </w:rPr>
        <w:t>各</w:t>
      </w:r>
      <w:r>
        <w:rPr>
          <w:rFonts w:hint="eastAsia" w:ascii="宋体" w:hAnsi="宋体"/>
          <w:color w:val="000000" w:themeColor="text1"/>
          <w:szCs w:val="18"/>
        </w:rPr>
        <w:t>单项、</w:t>
      </w:r>
      <w:r>
        <w:rPr>
          <w:rFonts w:ascii="宋体" w:hAnsi="宋体"/>
          <w:color w:val="000000" w:themeColor="text1"/>
          <w:szCs w:val="18"/>
        </w:rPr>
        <w:t>单位工程的施工期限和开</w:t>
      </w:r>
      <w:r>
        <w:rPr>
          <w:rFonts w:hint="eastAsia" w:ascii="宋体" w:hAnsi="宋体"/>
          <w:color w:val="000000" w:themeColor="text1"/>
          <w:szCs w:val="18"/>
        </w:rPr>
        <w:t>工</w:t>
      </w:r>
      <w:r>
        <w:rPr>
          <w:rFonts w:ascii="宋体" w:hAnsi="宋体"/>
          <w:color w:val="000000" w:themeColor="text1"/>
          <w:szCs w:val="18"/>
        </w:rPr>
        <w:t>、</w:t>
      </w:r>
      <w:r>
        <w:rPr>
          <w:rFonts w:hint="eastAsia" w:ascii="宋体" w:hAnsi="宋体"/>
          <w:color w:val="000000" w:themeColor="text1"/>
          <w:szCs w:val="18"/>
        </w:rPr>
        <w:t>交</w:t>
      </w:r>
      <w:r>
        <w:rPr>
          <w:rFonts w:ascii="宋体" w:hAnsi="宋体"/>
          <w:color w:val="000000" w:themeColor="text1"/>
          <w:szCs w:val="18"/>
        </w:rPr>
        <w:t>工日期</w:t>
      </w:r>
      <w:r>
        <w:rPr>
          <w:rFonts w:hint="eastAsia" w:ascii="宋体" w:hAnsi="宋体"/>
          <w:color w:val="000000" w:themeColor="text1"/>
          <w:szCs w:val="18"/>
        </w:rPr>
        <w:t>。施工总进度计划应报采购人确认。</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（2）对施工进度计划中的关键路线、资源配置等执行情况进行检查，并提出施工进展报告。</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（3）施工进度计划调整时，承包商应按规定程序进行协调和确认，并保存相关记录。</w:t>
      </w:r>
    </w:p>
    <w:p>
      <w:pPr>
        <w:snapToGrid w:val="0"/>
        <w:ind w:firstLine="480" w:firstLineChars="200"/>
        <w:rPr>
          <w:rFonts w:ascii="宋体" w:hAnsi="宋体"/>
          <w:color w:val="000000" w:themeColor="text1"/>
        </w:rPr>
      </w:pPr>
      <w:r>
        <w:rPr>
          <w:rFonts w:hint="eastAsia" w:ascii="宋体" w:hAnsi="宋体"/>
          <w:color w:val="000000" w:themeColor="text1"/>
        </w:rPr>
        <w:t>5.5合同控制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5.5.1总承包合同管理</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（1）承包商应建立工程总承包合同管理程序，确定项目合同控制目标，制定实施计划和保证措施，检查、跟踪合同履行情况，对项目合同变更进行管理，对合同文件进行管理。</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2）承包商应依据合同约定的程序和规定进行合同文件管理，合同管理人员应对合同文件定义范围内的信息、记录、函件、证据、报告、合同变更、协议、会议纪要、签证单据、图纸资料、标准规范及相关法规等及时进行收集、整理和归档</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（3）承包商合同管理人员应全过程跟踪检查合同履行情况，收集和整理合同信息，并按规定报告项目经理。</w:t>
      </w:r>
    </w:p>
    <w:p>
      <w:pPr>
        <w:snapToGrid w:val="0"/>
        <w:ind w:firstLine="480" w:firstLineChars="200"/>
        <w:rPr>
          <w:rFonts w:ascii="宋体" w:hAnsi="宋体"/>
          <w:color w:val="000000" w:themeColor="text1"/>
        </w:rPr>
      </w:pPr>
      <w:r>
        <w:rPr>
          <w:rFonts w:hint="eastAsia" w:ascii="宋体" w:hAnsi="宋体"/>
          <w:color w:val="000000" w:themeColor="text1"/>
        </w:rPr>
        <w:t>5.5.2分包合同管理</w:t>
      </w:r>
    </w:p>
    <w:p>
      <w:pPr>
        <w:snapToGrid w:val="0"/>
        <w:ind w:firstLine="480" w:firstLineChars="200"/>
        <w:rPr>
          <w:rFonts w:ascii="宋体" w:hAnsi="宋体"/>
          <w:color w:val="000000" w:themeColor="text1"/>
        </w:rPr>
      </w:pPr>
      <w:r>
        <w:rPr>
          <w:rFonts w:hint="eastAsia" w:ascii="宋体" w:hAnsi="宋体"/>
          <w:color w:val="000000" w:themeColor="text1"/>
        </w:rPr>
        <w:t>承包商及合同管理人员，应依据合同约定，将需要订立的分包合同纳入整体合同管理范围，并要求分包合同管理与工程总承包合同管理保持协调一致；按第4条第4.3款的规定向采购人和监理人提交分包合同副本，并接受采购人的监督和检查。</w:t>
      </w:r>
    </w:p>
    <w:p>
      <w:pPr>
        <w:snapToGrid w:val="0"/>
        <w:ind w:firstLine="480" w:firstLineChars="200"/>
        <w:rPr>
          <w:rFonts w:ascii="宋体" w:hAnsi="宋体"/>
          <w:color w:val="000000" w:themeColor="text1"/>
        </w:rPr>
      </w:pPr>
      <w:r>
        <w:rPr>
          <w:rFonts w:hint="eastAsia" w:ascii="宋体" w:hAnsi="宋体"/>
          <w:color w:val="000000" w:themeColor="text1"/>
        </w:rPr>
        <w:t>5.6投资控制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5.6.1承包商应制定资金管理规章制度、金管理目标和计划，对项目实施过程中的资金流进行管理和控制。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5.6.2承包商应依据合同约定向采购人申报工程款结算报告和相关资料，及时收取工程价款。</w:t>
      </w:r>
    </w:p>
    <w:p>
      <w:pPr>
        <w:ind w:left="480" w:leftChars="200"/>
        <w:rPr>
          <w:rFonts w:ascii="宋体" w:hAnsi="宋体"/>
          <w:color w:val="000000" w:themeColor="text1"/>
          <w:szCs w:val="18"/>
        </w:rPr>
      </w:pPr>
      <w:bookmarkStart w:id="230" w:name="_Toc511143065"/>
      <w:bookmarkStart w:id="231" w:name="_Toc514167134"/>
      <w:r>
        <w:rPr>
          <w:rFonts w:hint="eastAsia" w:ascii="宋体" w:hAnsi="宋体"/>
          <w:color w:val="000000" w:themeColor="text1"/>
        </w:rPr>
        <w:t>5.7 工程分包管理</w:t>
      </w:r>
      <w:bookmarkEnd w:id="230"/>
      <w:bookmarkEnd w:id="231"/>
      <w:r>
        <w:rPr>
          <w:rFonts w:hint="eastAsia" w:ascii="宋体" w:hAnsi="宋体"/>
          <w:color w:val="000000" w:themeColor="text1"/>
          <w:szCs w:val="18"/>
        </w:rPr>
        <w:t xml:space="preserve">          </w:t>
      </w:r>
    </w:p>
    <w:p>
      <w:pPr>
        <w:snapToGrid w:val="0"/>
        <w:ind w:firstLine="480" w:firstLineChars="200"/>
        <w:rPr>
          <w:rFonts w:ascii="宋体" w:hAnsi="宋体"/>
          <w:color w:val="000000" w:themeColor="text1"/>
        </w:rPr>
      </w:pPr>
      <w:r>
        <w:rPr>
          <w:rFonts w:hint="eastAsia" w:ascii="宋体" w:hAnsi="宋体"/>
          <w:color w:val="000000" w:themeColor="text1"/>
        </w:rPr>
        <w:t>5.7.1承包商成交后应严格按照中国石化相关规定和本项目合同条款的规定确定分包商、分包项目内容、分包价款。采购人有权力对承包商的分包工作进行检查、指导和监督。承包商分包工作须遵守包括但不限于以下要求：</w:t>
      </w:r>
    </w:p>
    <w:p>
      <w:pPr>
        <w:snapToGrid w:val="0"/>
        <w:ind w:firstLine="480" w:firstLineChars="200"/>
        <w:rPr>
          <w:rFonts w:ascii="宋体" w:hAnsi="宋体"/>
          <w:color w:val="000000" w:themeColor="text1"/>
          <w:u w:val="single"/>
        </w:rPr>
      </w:pPr>
      <w:r>
        <w:rPr>
          <w:rFonts w:hint="eastAsia" w:ascii="宋体" w:hAnsi="宋体"/>
          <w:color w:val="000000" w:themeColor="text1"/>
        </w:rPr>
        <w:t>5.7.2本公开招标采购项目不允许分包的工程或工作范围为：道路、基础。</w:t>
      </w:r>
    </w:p>
    <w:p>
      <w:pPr>
        <w:snapToGrid w:val="0"/>
        <w:ind w:firstLine="480" w:firstLineChars="200"/>
        <w:rPr>
          <w:rFonts w:ascii="宋体" w:hAnsi="宋体"/>
          <w:color w:val="000000" w:themeColor="text1"/>
        </w:rPr>
      </w:pPr>
      <w:r>
        <w:rPr>
          <w:rFonts w:hint="eastAsia" w:ascii="宋体" w:hAnsi="宋体"/>
          <w:color w:val="000000" w:themeColor="text1"/>
        </w:rPr>
        <w:t>5.7.3分包过程管理</w:t>
      </w:r>
    </w:p>
    <w:p>
      <w:pPr>
        <w:snapToGrid w:val="0"/>
        <w:ind w:firstLine="480" w:firstLineChars="200"/>
        <w:rPr>
          <w:rFonts w:ascii="宋体" w:hAnsi="宋体"/>
          <w:color w:val="000000" w:themeColor="text1"/>
        </w:rPr>
      </w:pPr>
      <w:r>
        <w:rPr>
          <w:rFonts w:hint="eastAsia" w:ascii="宋体" w:hAnsi="宋体"/>
          <w:color w:val="000000" w:themeColor="text1"/>
        </w:rPr>
        <w:t>（1）分包工作内容包括但不限于：拟分包工程或工作的范围和内容、分包工作性质、合同金额、分包发包方式、分包发包组织形式、分包管理费上限、分包人资格要求、项目负责人资格或承诺、分包计划、分包人变更程序及罚则以及为满足采购人分包管理要求的相关工程分包发包体系文件等。</w:t>
      </w:r>
    </w:p>
    <w:p>
      <w:pPr>
        <w:snapToGrid w:val="0"/>
        <w:ind w:firstLine="480" w:firstLineChars="200"/>
        <w:rPr>
          <w:rFonts w:ascii="宋体" w:hAnsi="宋体"/>
          <w:color w:val="000000" w:themeColor="text1"/>
        </w:rPr>
      </w:pPr>
      <w:r>
        <w:rPr>
          <w:rFonts w:hint="eastAsia" w:ascii="宋体" w:hAnsi="宋体"/>
          <w:color w:val="000000" w:themeColor="text1"/>
        </w:rPr>
        <w:t>（2）承包商应按照总承包合同的约定，依法订立分包合同.</w:t>
      </w:r>
    </w:p>
    <w:p>
      <w:pPr>
        <w:snapToGrid w:val="0"/>
        <w:ind w:firstLine="480" w:firstLineChars="200"/>
        <w:rPr>
          <w:rFonts w:ascii="宋体" w:hAnsi="宋体"/>
          <w:color w:val="000000" w:themeColor="text1"/>
        </w:rPr>
      </w:pPr>
      <w:r>
        <w:rPr>
          <w:rFonts w:hint="eastAsia" w:ascii="宋体" w:hAnsi="宋体"/>
          <w:color w:val="000000" w:themeColor="text1"/>
        </w:rPr>
        <w:t>（3）承包商应依据施工分包合同约定，在分包项目实施前对从事分包的有关人员进行分包工程的交底，审核批准分包方编制的施工方案，并据此对分包方的施工条件进行确认和验证。</w:t>
      </w:r>
    </w:p>
    <w:p>
      <w:pPr>
        <w:snapToGrid w:val="0"/>
        <w:ind w:firstLine="480" w:firstLineChars="200"/>
        <w:rPr>
          <w:rFonts w:ascii="宋体" w:hAnsi="宋体"/>
          <w:color w:val="000000" w:themeColor="text1"/>
        </w:rPr>
      </w:pPr>
      <w:r>
        <w:rPr>
          <w:rFonts w:hint="eastAsia" w:ascii="宋体" w:hAnsi="宋体"/>
          <w:color w:val="000000" w:themeColor="text1"/>
        </w:rPr>
        <w:t>（4）对项目分包管理活动的监督和指导,对分包方的施工和服务过程进行控制.</w:t>
      </w:r>
    </w:p>
    <w:p>
      <w:pPr>
        <w:snapToGrid w:val="0"/>
        <w:ind w:firstLine="480" w:firstLineChars="200"/>
        <w:rPr>
          <w:color w:val="000000" w:themeColor="text1"/>
        </w:rPr>
      </w:pPr>
      <w:r>
        <w:rPr>
          <w:rFonts w:hint="eastAsia" w:ascii="宋体" w:hAnsi="宋体"/>
          <w:color w:val="000000" w:themeColor="text1"/>
        </w:rPr>
        <w:t>5.7.4依据规定和标准对分包项目进行验收。</w:t>
      </w:r>
    </w:p>
    <w:p>
      <w:pPr>
        <w:snapToGrid w:val="0"/>
        <w:ind w:firstLine="480" w:firstLineChars="200"/>
        <w:rPr>
          <w:rFonts w:ascii="宋体" w:hAnsi="宋体"/>
          <w:color w:val="000000" w:themeColor="text1"/>
        </w:rPr>
      </w:pPr>
      <w:r>
        <w:rPr>
          <w:rFonts w:hint="eastAsia" w:ascii="宋体" w:hAnsi="宋体"/>
          <w:color w:val="000000" w:themeColor="text1"/>
        </w:rPr>
        <w:t>5.8协调机制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5.8.1沟通管理</w:t>
      </w:r>
    </w:p>
    <w:p>
      <w:pPr>
        <w:snapToGrid w:val="0"/>
        <w:ind w:firstLine="360" w:firstLineChars="150"/>
        <w:rPr>
          <w:rFonts w:ascii="宋体" w:hAnsi="宋体"/>
          <w:color w:val="000000" w:themeColor="text1"/>
          <w:szCs w:val="18"/>
        </w:rPr>
      </w:pPr>
      <w:r>
        <w:rPr>
          <w:rFonts w:hint="eastAsia" w:ascii="宋体" w:hAnsi="宋体"/>
          <w:color w:val="000000" w:themeColor="text1"/>
          <w:szCs w:val="18"/>
        </w:rPr>
        <w:t>（1）承包商应制定项目沟通管理计划，明确沟通的内容和方式，并根据项目实施过程中的情况变化进行调整。</w:t>
      </w:r>
    </w:p>
    <w:p>
      <w:pPr>
        <w:snapToGrid w:val="0"/>
        <w:ind w:firstLine="360" w:firstLineChars="150"/>
        <w:rPr>
          <w:rFonts w:ascii="宋体" w:hAnsi="宋体"/>
          <w:color w:val="000000" w:themeColor="text1"/>
          <w:szCs w:val="18"/>
        </w:rPr>
      </w:pPr>
      <w:r>
        <w:rPr>
          <w:rFonts w:hint="eastAsia" w:ascii="宋体" w:hAnsi="宋体"/>
          <w:color w:val="000000" w:themeColor="text1"/>
          <w:szCs w:val="18"/>
        </w:rPr>
        <w:t>（2）承包商应根据工程总承包项目的特点，以及项目相关方不同的需求和目标，采取有效的协调措施。</w:t>
      </w:r>
    </w:p>
    <w:p>
      <w:pPr>
        <w:ind w:left="480" w:leftChars="200"/>
        <w:rPr>
          <w:rFonts w:ascii="宋体" w:hAnsi="宋体"/>
          <w:color w:val="000000" w:themeColor="text1"/>
          <w:szCs w:val="18"/>
        </w:rPr>
      </w:pPr>
      <w:bookmarkStart w:id="232" w:name="_Toc511143066"/>
      <w:bookmarkStart w:id="233" w:name="_Toc420404338"/>
      <w:bookmarkStart w:id="234" w:name="_Toc514167135"/>
      <w:r>
        <w:rPr>
          <w:rFonts w:hint="eastAsia" w:ascii="宋体" w:hAnsi="宋体"/>
          <w:color w:val="000000" w:themeColor="text1"/>
          <w:szCs w:val="18"/>
        </w:rPr>
        <w:t>5.8.2 信息管理</w:t>
      </w:r>
      <w:bookmarkEnd w:id="232"/>
      <w:bookmarkEnd w:id="233"/>
      <w:bookmarkEnd w:id="234"/>
    </w:p>
    <w:p>
      <w:pPr>
        <w:snapToGrid w:val="0"/>
        <w:ind w:firstLine="360" w:firstLineChars="150"/>
        <w:rPr>
          <w:rFonts w:ascii="宋体" w:hAnsi="宋体"/>
          <w:color w:val="000000" w:themeColor="text1"/>
          <w:szCs w:val="18"/>
        </w:rPr>
      </w:pPr>
      <w:r>
        <w:rPr>
          <w:rFonts w:hint="eastAsia" w:ascii="宋体" w:hAnsi="宋体"/>
          <w:color w:val="000000" w:themeColor="text1"/>
          <w:szCs w:val="18"/>
        </w:rPr>
        <w:t>（1）承包商应建立项目信息管理系统，实现数据的共享和流转，对信息进行分析和评估。</w:t>
      </w:r>
    </w:p>
    <w:p>
      <w:pPr>
        <w:snapToGrid w:val="0"/>
        <w:ind w:firstLine="360" w:firstLineChars="150"/>
        <w:rPr>
          <w:rFonts w:ascii="宋体" w:hAnsi="宋体"/>
          <w:color w:val="000000" w:themeColor="text1"/>
          <w:szCs w:val="18"/>
        </w:rPr>
      </w:pPr>
      <w:r>
        <w:rPr>
          <w:rFonts w:hint="eastAsia" w:ascii="宋体" w:hAnsi="宋体"/>
          <w:color w:val="000000" w:themeColor="text1"/>
          <w:szCs w:val="18"/>
        </w:rPr>
        <w:t>（2）承包商应制定项目信息管理计划，明确信息管理的内容和方式。</w:t>
      </w:r>
    </w:p>
    <w:p>
      <w:pPr>
        <w:snapToGrid w:val="0"/>
        <w:ind w:firstLine="360" w:firstLineChars="150"/>
        <w:rPr>
          <w:rFonts w:ascii="宋体" w:hAnsi="宋体"/>
          <w:color w:val="000000" w:themeColor="text1"/>
          <w:szCs w:val="18"/>
        </w:rPr>
      </w:pPr>
      <w:r>
        <w:rPr>
          <w:rFonts w:hint="eastAsia" w:ascii="宋体" w:hAnsi="宋体"/>
          <w:color w:val="000000" w:themeColor="text1"/>
          <w:szCs w:val="18"/>
        </w:rPr>
        <w:t>（3）承包商应制定收集、处理、分析、反馈和传递项目信息的管理规定，并监督执行。</w:t>
      </w:r>
    </w:p>
    <w:p>
      <w:pPr>
        <w:snapToGrid w:val="0"/>
        <w:ind w:firstLine="360" w:firstLineChars="150"/>
        <w:rPr>
          <w:rFonts w:ascii="宋体" w:hAnsi="宋体"/>
          <w:color w:val="000000" w:themeColor="text1"/>
          <w:szCs w:val="18"/>
        </w:rPr>
      </w:pPr>
      <w:r>
        <w:rPr>
          <w:rFonts w:hint="eastAsia" w:ascii="宋体" w:hAnsi="宋体"/>
          <w:color w:val="000000" w:themeColor="text1"/>
          <w:szCs w:val="18"/>
        </w:rPr>
        <w:t>（4）承包商应依据合同约定和工程总承包企业有关规定，确定项目统一的信息结构、分类和编码规则。</w:t>
      </w:r>
    </w:p>
    <w:p>
      <w:pPr>
        <w:ind w:left="480" w:leftChars="200"/>
        <w:rPr>
          <w:rFonts w:ascii="宋体" w:hAnsi="宋体"/>
          <w:color w:val="000000" w:themeColor="text1"/>
          <w:szCs w:val="18"/>
        </w:rPr>
      </w:pPr>
      <w:bookmarkStart w:id="235" w:name="_Toc420404339"/>
      <w:bookmarkStart w:id="236" w:name="_Toc511143067"/>
      <w:bookmarkStart w:id="237" w:name="_Toc514167136"/>
      <w:r>
        <w:rPr>
          <w:rFonts w:hint="eastAsia" w:ascii="宋体" w:hAnsi="宋体"/>
          <w:color w:val="000000" w:themeColor="text1"/>
          <w:szCs w:val="18"/>
        </w:rPr>
        <w:t>5.8.3文件管理</w:t>
      </w:r>
      <w:bookmarkEnd w:id="235"/>
      <w:bookmarkEnd w:id="236"/>
      <w:bookmarkEnd w:id="237"/>
    </w:p>
    <w:p>
      <w:pPr>
        <w:snapToGrid w:val="0"/>
        <w:ind w:firstLine="480" w:firstLineChars="200"/>
        <w:rPr>
          <w:rFonts w:ascii="宋体" w:hAnsi="宋体"/>
          <w:color w:val="000000" w:themeColor="text1"/>
          <w:szCs w:val="18"/>
        </w:rPr>
      </w:pPr>
      <w:r>
        <w:rPr>
          <w:rFonts w:hint="eastAsia" w:ascii="宋体" w:hAnsi="宋体"/>
          <w:color w:val="000000" w:themeColor="text1"/>
          <w:szCs w:val="18"/>
        </w:rPr>
        <w:t>（1）项目文件和资料应随项目进度收集和处理，并按项目统一规定进行管理。</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（2）承包商应按档案管理标准和规定，将工程设计、采购、施工和试运行等阶段形成的文件和资料进行归档，档案资料应真实、有效和完整。</w:t>
      </w:r>
    </w:p>
    <w:p>
      <w:pPr>
        <w:ind w:left="480" w:leftChars="200"/>
        <w:rPr>
          <w:rFonts w:ascii="宋体" w:hAnsi="宋体"/>
          <w:color w:val="000000" w:themeColor="text1"/>
          <w:szCs w:val="18"/>
        </w:rPr>
      </w:pPr>
      <w:bookmarkStart w:id="238" w:name="_Toc514167137"/>
      <w:bookmarkStart w:id="239" w:name="_Toc420404340"/>
      <w:bookmarkStart w:id="240" w:name="_Toc511143068"/>
      <w:r>
        <w:rPr>
          <w:rFonts w:hint="eastAsia" w:ascii="宋体" w:hAnsi="宋体"/>
          <w:color w:val="000000" w:themeColor="text1"/>
          <w:szCs w:val="18"/>
        </w:rPr>
        <w:t>5.8.4</w:t>
      </w:r>
      <w:r>
        <w:rPr>
          <w:rFonts w:ascii="宋体" w:hAnsi="宋体"/>
          <w:color w:val="000000" w:themeColor="text1"/>
          <w:szCs w:val="18"/>
        </w:rPr>
        <w:t xml:space="preserve"> </w:t>
      </w:r>
      <w:r>
        <w:rPr>
          <w:rFonts w:hint="eastAsia" w:ascii="宋体" w:hAnsi="宋体"/>
          <w:color w:val="000000" w:themeColor="text1"/>
          <w:szCs w:val="18"/>
        </w:rPr>
        <w:t>信息安全及保密</w:t>
      </w:r>
      <w:bookmarkEnd w:id="238"/>
      <w:bookmarkEnd w:id="239"/>
      <w:bookmarkEnd w:id="240"/>
    </w:p>
    <w:p>
      <w:pPr>
        <w:snapToGrid w:val="0"/>
        <w:ind w:firstLine="480" w:firstLineChars="200"/>
        <w:rPr>
          <w:rFonts w:ascii="宋体" w:hAnsi="宋体"/>
          <w:color w:val="000000" w:themeColor="text1"/>
          <w:szCs w:val="18"/>
        </w:rPr>
      </w:pPr>
      <w:r>
        <w:rPr>
          <w:rFonts w:hint="eastAsia" w:ascii="宋体" w:hAnsi="宋体"/>
          <w:color w:val="000000" w:themeColor="text1"/>
          <w:szCs w:val="18"/>
        </w:rPr>
        <w:t>（1）承包商应遵守国家、地方有关知识产权和信息安全的法律法规以及采购人有关规定，并符合合同要求。</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（2）承包商应根据采购人信息安全和保密有关规定，采取信息安全与保密措施，防止和处理在信息传递与处理过程中的失误与失密。</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（3）承包商应根据采购人的信息备份和存档程序，以及系统瘫痪后的系统恢复程序，进行项目信息的备份和存档。</w:t>
      </w:r>
    </w:p>
    <w:p>
      <w:pPr>
        <w:rPr>
          <w:rFonts w:ascii="宋体" w:hAnsi="宋体"/>
          <w:color w:val="000000" w:themeColor="text1"/>
          <w:szCs w:val="18"/>
        </w:rPr>
      </w:pPr>
      <w:r>
        <w:rPr>
          <w:rFonts w:hint="eastAsia" w:ascii="宋体" w:hAnsi="宋体"/>
          <w:color w:val="000000" w:themeColor="text1"/>
          <w:szCs w:val="18"/>
        </w:rPr>
        <w:t xml:space="preserve">    </w:t>
      </w:r>
      <w:bookmarkStart w:id="241" w:name="_Toc514167138"/>
      <w:bookmarkStart w:id="242" w:name="_Toc511143069"/>
      <w:r>
        <w:rPr>
          <w:rFonts w:hint="eastAsia" w:ascii="宋体" w:hAnsi="宋体"/>
          <w:color w:val="000000" w:themeColor="text1"/>
          <w:szCs w:val="18"/>
        </w:rPr>
        <w:t>5.9风险管理要求</w:t>
      </w:r>
      <w:bookmarkEnd w:id="241"/>
      <w:bookmarkEnd w:id="242"/>
    </w:p>
    <w:p>
      <w:pPr>
        <w:snapToGrid w:val="0"/>
        <w:rPr>
          <w:rFonts w:ascii="宋体" w:hAnsi="宋体"/>
          <w:color w:val="000000" w:themeColor="text1"/>
          <w:szCs w:val="18"/>
        </w:rPr>
      </w:pPr>
      <w:r>
        <w:rPr>
          <w:rFonts w:hint="eastAsia" w:ascii="宋体" w:hAnsi="宋体"/>
          <w:color w:val="000000" w:themeColor="text1"/>
          <w:szCs w:val="18"/>
        </w:rPr>
        <w:t xml:space="preserve">    5.9.1承包商应对风险工程进行风险辨识与评估，根据图纸内容进行风险等级划分。制定风险管理计划，建立与风险目标相适应的风险管理体系。</w:t>
      </w:r>
    </w:p>
    <w:p>
      <w:pPr>
        <w:snapToGrid w:val="0"/>
        <w:rPr>
          <w:rFonts w:ascii="宋体" w:hAnsi="宋体"/>
          <w:color w:val="000000" w:themeColor="text1"/>
          <w:szCs w:val="18"/>
        </w:rPr>
      </w:pPr>
      <w:r>
        <w:rPr>
          <w:rFonts w:hint="eastAsia" w:ascii="宋体" w:hAnsi="宋体"/>
          <w:color w:val="000000" w:themeColor="text1"/>
          <w:szCs w:val="18"/>
        </w:rPr>
        <w:t xml:space="preserve">    5.9.2承包商应对已标示的风险源提出针对性的、确实可行控制方案和措施。对建设过程中存在的环境风险、工程风险实行全过程管理。</w:t>
      </w:r>
    </w:p>
    <w:p>
      <w:pPr>
        <w:snapToGrid w:val="0"/>
        <w:rPr>
          <w:rFonts w:ascii="宋体" w:hAnsi="宋体"/>
          <w:color w:val="000000" w:themeColor="text1"/>
          <w:szCs w:val="18"/>
        </w:rPr>
      </w:pPr>
      <w:r>
        <w:rPr>
          <w:rFonts w:hint="eastAsia" w:ascii="宋体" w:hAnsi="宋体"/>
          <w:color w:val="000000" w:themeColor="text1"/>
          <w:szCs w:val="18"/>
        </w:rPr>
        <w:t xml:space="preserve">    5.9.3承包商在项目实施过程中，应对工程的各种风险进行管理，包括但不限于如下内容：风险的分析、评估与应对方案、风险点的分类与监控、重大风险的管理方案、风险管理费用的落实与调整、有关风险管理的技术标准和规范的落实、风险的转移等。</w:t>
      </w:r>
    </w:p>
    <w:p>
      <w:pPr>
        <w:outlineLvl w:val="1"/>
        <w:rPr>
          <w:b/>
          <w:color w:val="000000" w:themeColor="text1"/>
        </w:rPr>
      </w:pPr>
      <w:bookmarkStart w:id="243" w:name="_Toc439160075"/>
      <w:bookmarkStart w:id="244" w:name="_Toc511143070"/>
      <w:r>
        <w:rPr>
          <w:rFonts w:hint="eastAsia"/>
          <w:b/>
          <w:color w:val="000000" w:themeColor="text1"/>
        </w:rPr>
        <w:t>6</w:t>
      </w:r>
      <w:r>
        <w:rPr>
          <w:b/>
          <w:color w:val="000000" w:themeColor="text1"/>
        </w:rPr>
        <w:t>.</w:t>
      </w:r>
      <w:r>
        <w:rPr>
          <w:rFonts w:hint="eastAsia"/>
          <w:b/>
          <w:color w:val="000000" w:themeColor="text1"/>
        </w:rPr>
        <w:t>安全、职业健康与环境管理</w:t>
      </w:r>
      <w:bookmarkEnd w:id="243"/>
      <w:bookmarkEnd w:id="244"/>
    </w:p>
    <w:p>
      <w:pPr>
        <w:snapToGrid w:val="0"/>
        <w:ind w:firstLine="480" w:firstLineChars="200"/>
        <w:rPr>
          <w:rFonts w:ascii="宋体" w:hAnsi="宋体"/>
          <w:color w:val="000000" w:themeColor="text1"/>
        </w:rPr>
      </w:pPr>
      <w:r>
        <w:rPr>
          <w:rFonts w:hint="eastAsia" w:ascii="宋体" w:hAnsi="宋体"/>
          <w:color w:val="000000" w:themeColor="text1"/>
        </w:rPr>
        <w:t>6.1一般规定</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承包商应遵守</w:t>
      </w:r>
      <w:r>
        <w:rPr>
          <w:rFonts w:ascii="宋体" w:hAnsi="宋体"/>
          <w:color w:val="000000" w:themeColor="text1"/>
          <w:szCs w:val="18"/>
        </w:rPr>
        <w:t>相关安全职业健康</w:t>
      </w:r>
      <w:r>
        <w:rPr>
          <w:rFonts w:hint="eastAsia" w:ascii="宋体" w:hAnsi="宋体"/>
          <w:color w:val="000000" w:themeColor="text1"/>
          <w:szCs w:val="18"/>
        </w:rPr>
        <w:t>方面</w:t>
      </w:r>
      <w:r>
        <w:rPr>
          <w:rFonts w:ascii="宋体" w:hAnsi="宋体"/>
          <w:color w:val="000000" w:themeColor="text1"/>
          <w:szCs w:val="18"/>
        </w:rPr>
        <w:t>的</w:t>
      </w:r>
      <w:r>
        <w:rPr>
          <w:rFonts w:hint="eastAsia" w:ascii="宋体" w:hAnsi="宋体"/>
          <w:color w:val="000000" w:themeColor="text1"/>
          <w:szCs w:val="18"/>
        </w:rPr>
        <w:t>法律、法规及国家</w:t>
      </w:r>
      <w:r>
        <w:rPr>
          <w:rFonts w:ascii="宋体" w:hAnsi="宋体"/>
          <w:color w:val="000000" w:themeColor="text1"/>
          <w:szCs w:val="18"/>
        </w:rPr>
        <w:t>、行业、地方</w:t>
      </w:r>
      <w:r>
        <w:rPr>
          <w:rFonts w:hint="eastAsia" w:ascii="宋体" w:hAnsi="宋体"/>
          <w:color w:val="000000" w:themeColor="text1"/>
          <w:szCs w:val="18"/>
        </w:rPr>
        <w:t>标准。</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6.1.1承包商应按职业健康安全管理和环境管理体系要求，规范施工总承包项目的职业健康安全和环境管理。</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6.1.2承包商应设置专职管理人员，在项目经理领导下，具体负责项目安全、职业健康与环境管理的组织与协调工作。</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6.1.3开展危险源辩识和风险评价，制定安全管理计划，并进行控制。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6.1.4项目职业健康管理应按“预防为主、防治结合”的方针。开展职业健康危险源辩识和风险评价，制定职业健康管理计划，并进行控制。</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6.1.5项目环境保护应按“保护优先、预防为主、综合治理、公众参与、损害担责”的原则，根据建设项目环境影响评价文件和环境保护规划，开展环境因素辨识和评价，制定环境保护计划，并进行控制。</w:t>
      </w:r>
    </w:p>
    <w:p>
      <w:pPr>
        <w:ind w:firstLine="480" w:firstLineChars="200"/>
        <w:rPr>
          <w:rFonts w:ascii="宋体" w:hAnsi="宋体"/>
          <w:color w:val="000000" w:themeColor="text1"/>
        </w:rPr>
      </w:pPr>
      <w:bookmarkStart w:id="245" w:name="_Toc511143071"/>
      <w:bookmarkStart w:id="246" w:name="_Toc514167140"/>
      <w:r>
        <w:rPr>
          <w:rFonts w:hint="eastAsia" w:ascii="宋体" w:hAnsi="宋体"/>
          <w:color w:val="000000" w:themeColor="text1"/>
        </w:rPr>
        <w:t>6.2 HSE方针：</w:t>
      </w:r>
      <w:bookmarkEnd w:id="245"/>
      <w:bookmarkEnd w:id="246"/>
    </w:p>
    <w:p>
      <w:pPr>
        <w:snapToGrid w:val="0"/>
        <w:ind w:firstLine="480" w:firstLineChars="200"/>
        <w:rPr>
          <w:rFonts w:ascii="宋体" w:hAnsi="宋体"/>
          <w:color w:val="000000" w:themeColor="text1"/>
          <w:szCs w:val="18"/>
        </w:rPr>
      </w:pPr>
      <w:r>
        <w:rPr>
          <w:rFonts w:hint="eastAsia" w:ascii="宋体" w:hAnsi="宋体"/>
          <w:color w:val="000000" w:themeColor="text1"/>
          <w:szCs w:val="18"/>
        </w:rPr>
        <w:t>安全第一、预防为主；全员动手、综合治理；改善环境、保护健康；科学管理、持续发展。</w:t>
      </w:r>
    </w:p>
    <w:p>
      <w:pPr>
        <w:snapToGrid w:val="0"/>
        <w:ind w:firstLine="480" w:firstLineChars="200"/>
        <w:rPr>
          <w:rFonts w:ascii="宋体" w:hAnsi="宋体"/>
          <w:color w:val="000000" w:themeColor="text1"/>
        </w:rPr>
      </w:pPr>
      <w:r>
        <w:rPr>
          <w:rFonts w:ascii="宋体" w:hAnsi="宋体"/>
          <w:color w:val="000000" w:themeColor="text1"/>
        </w:rPr>
        <w:t>6.3安全职业健康管理管理</w:t>
      </w:r>
    </w:p>
    <w:p>
      <w:pPr>
        <w:snapToGrid w:val="0"/>
        <w:ind w:firstLine="480" w:firstLineChars="200"/>
        <w:rPr>
          <w:rFonts w:ascii="宋体" w:hAnsi="宋体"/>
          <w:color w:val="000000" w:themeColor="text1"/>
        </w:rPr>
      </w:pPr>
      <w:r>
        <w:rPr>
          <w:rFonts w:ascii="宋体" w:hAnsi="宋体"/>
          <w:color w:val="000000" w:themeColor="text1"/>
        </w:rPr>
        <w:t>6.3.1承包商项目经理是项目安全职业健康的主要负责人。</w:t>
      </w:r>
    </w:p>
    <w:p>
      <w:pPr>
        <w:snapToGrid w:val="0"/>
        <w:ind w:firstLine="480" w:firstLineChars="200"/>
        <w:rPr>
          <w:rFonts w:ascii="宋体" w:hAnsi="宋体"/>
          <w:color w:val="000000" w:themeColor="text1"/>
        </w:rPr>
      </w:pPr>
      <w:r>
        <w:rPr>
          <w:rFonts w:ascii="宋体" w:hAnsi="宋体"/>
          <w:color w:val="000000" w:themeColor="text1"/>
        </w:rPr>
        <w:t>6.3.2承包商应根据的安全职业健康管理目标，制定施工项目安全职业健康管理计划、安全职业健康管理制度、安全职业健康技术措施，并按规定程序批准实施。</w:t>
      </w:r>
    </w:p>
    <w:p>
      <w:pPr>
        <w:snapToGrid w:val="0"/>
        <w:ind w:firstLine="480" w:firstLineChars="200"/>
        <w:rPr>
          <w:rFonts w:ascii="宋体" w:hAnsi="宋体"/>
          <w:color w:val="000000" w:themeColor="text1"/>
        </w:rPr>
      </w:pPr>
      <w:r>
        <w:rPr>
          <w:rFonts w:ascii="宋体" w:hAnsi="宋体"/>
          <w:color w:val="000000" w:themeColor="text1"/>
        </w:rPr>
        <w:t>6.3.3承包商应对项目安全管理计划安全职业健康管理制度、安全职业健康技术措施的要求实施进行管理。</w:t>
      </w:r>
    </w:p>
    <w:p>
      <w:pPr>
        <w:snapToGrid w:val="0"/>
        <w:ind w:firstLine="480" w:firstLineChars="200"/>
        <w:rPr>
          <w:rFonts w:ascii="宋体" w:hAnsi="宋体"/>
          <w:color w:val="000000" w:themeColor="text1"/>
        </w:rPr>
      </w:pPr>
      <w:r>
        <w:rPr>
          <w:rFonts w:ascii="宋体" w:hAnsi="宋体"/>
          <w:color w:val="000000" w:themeColor="text1"/>
        </w:rPr>
        <w:t>6.3.4项目安全职业健康管理必须贯穿于工程设计、采购、施工和试运行各阶段。</w:t>
      </w:r>
    </w:p>
    <w:p>
      <w:pPr>
        <w:snapToGrid w:val="0"/>
        <w:ind w:firstLine="48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1</w:t>
      </w:r>
      <w:r>
        <w:rPr>
          <w:rFonts w:ascii="宋体" w:hAnsi="宋体"/>
          <w:color w:val="000000" w:themeColor="text1"/>
        </w:rPr>
        <w:t>）采购应对设备、材料和防护用品进行安全职业健康控制。</w:t>
      </w:r>
    </w:p>
    <w:p>
      <w:pPr>
        <w:snapToGrid w:val="0"/>
        <w:ind w:firstLine="48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2</w:t>
      </w:r>
      <w:r>
        <w:rPr>
          <w:rFonts w:ascii="宋体" w:hAnsi="宋体"/>
          <w:color w:val="000000" w:themeColor="text1"/>
        </w:rPr>
        <w:t>）施工现场的安全管理：承包商进入中国石化施工现场作业，</w:t>
      </w:r>
      <w:r>
        <w:rPr>
          <w:rFonts w:hint="eastAsia" w:ascii="宋体" w:hAnsi="宋体"/>
          <w:color w:val="000000" w:themeColor="text1"/>
        </w:rPr>
        <w:t>须</w:t>
      </w:r>
      <w:r>
        <w:rPr>
          <w:rFonts w:ascii="宋体" w:hAnsi="宋体"/>
          <w:color w:val="000000" w:themeColor="text1"/>
        </w:rPr>
        <w:t>持有国家法律法规要求的资格证件，并执行</w:t>
      </w:r>
      <w:r>
        <w:rPr>
          <w:rFonts w:hint="eastAsia" w:ascii="宋体" w:hAnsi="宋体"/>
          <w:color w:val="000000" w:themeColor="text1"/>
        </w:rPr>
        <w:t>《中国石化承包商安全监督管理办法》（中国石化安〔</w:t>
      </w:r>
      <w:r>
        <w:rPr>
          <w:rFonts w:ascii="宋体" w:hAnsi="宋体"/>
          <w:color w:val="000000" w:themeColor="text1"/>
        </w:rPr>
        <w:t>2017〕603号）</w:t>
      </w:r>
      <w:r>
        <w:rPr>
          <w:rFonts w:hint="eastAsia" w:ascii="宋体" w:hAnsi="宋体"/>
          <w:color w:val="000000" w:themeColor="text1"/>
        </w:rPr>
        <w:t>等</w:t>
      </w:r>
      <w:r>
        <w:rPr>
          <w:rFonts w:ascii="宋体" w:hAnsi="宋体"/>
          <w:color w:val="000000" w:themeColor="text1"/>
        </w:rPr>
        <w:t>相关管理规定。</w:t>
      </w:r>
    </w:p>
    <w:p>
      <w:pPr>
        <w:snapToGrid w:val="0"/>
        <w:ind w:firstLine="48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3</w:t>
      </w:r>
      <w:r>
        <w:rPr>
          <w:rFonts w:ascii="宋体" w:hAnsi="宋体"/>
          <w:color w:val="000000" w:themeColor="text1"/>
        </w:rPr>
        <w:t>）项目试运行前，应开展项目安全检查等工作。</w:t>
      </w:r>
    </w:p>
    <w:p>
      <w:pPr>
        <w:snapToGrid w:val="0"/>
        <w:ind w:firstLine="480" w:firstLineChars="200"/>
        <w:rPr>
          <w:rFonts w:ascii="宋体" w:hAnsi="宋体"/>
          <w:color w:val="000000" w:themeColor="text1"/>
        </w:rPr>
      </w:pPr>
      <w:r>
        <w:rPr>
          <w:rFonts w:ascii="宋体" w:hAnsi="宋体"/>
          <w:color w:val="000000" w:themeColor="text1"/>
        </w:rPr>
        <w:t>6.3.5承包商应配合</w:t>
      </w:r>
      <w:r>
        <w:rPr>
          <w:rFonts w:hint="eastAsia" w:ascii="宋体" w:hAnsi="宋体"/>
          <w:color w:val="000000" w:themeColor="text1"/>
        </w:rPr>
        <w:t>采购人</w:t>
      </w:r>
      <w:r>
        <w:rPr>
          <w:rFonts w:ascii="宋体" w:hAnsi="宋体"/>
          <w:color w:val="000000" w:themeColor="text1"/>
        </w:rPr>
        <w:t>按规定向工程所在地的县级以上地方人民政府建设行政主管部门申报项目安全施工措施的有关文件。</w:t>
      </w:r>
    </w:p>
    <w:p>
      <w:pPr>
        <w:snapToGrid w:val="0"/>
        <w:ind w:firstLine="480" w:firstLineChars="200"/>
        <w:rPr>
          <w:rFonts w:ascii="宋体" w:hAnsi="宋体"/>
          <w:color w:val="000000" w:themeColor="text1"/>
        </w:rPr>
      </w:pPr>
      <w:r>
        <w:rPr>
          <w:rFonts w:ascii="宋体" w:hAnsi="宋体"/>
          <w:color w:val="000000" w:themeColor="text1"/>
        </w:rPr>
        <w:t>6.3.6在分包合同中,</w:t>
      </w:r>
      <w:r>
        <w:rPr>
          <w:rFonts w:hint="eastAsia" w:ascii="宋体" w:hAnsi="宋体"/>
          <w:color w:val="000000" w:themeColor="text1"/>
        </w:rPr>
        <w:t>承包商</w:t>
      </w:r>
      <w:r>
        <w:rPr>
          <w:rFonts w:ascii="宋体" w:hAnsi="宋体"/>
          <w:color w:val="000000" w:themeColor="text1"/>
        </w:rPr>
        <w:t>应按国家法律法规明确相应的安全要求,分包</w:t>
      </w:r>
      <w:r>
        <w:rPr>
          <w:rFonts w:hint="eastAsia" w:ascii="宋体" w:hAnsi="宋体"/>
          <w:color w:val="000000" w:themeColor="text1"/>
        </w:rPr>
        <w:t>人</w:t>
      </w:r>
      <w:r>
        <w:rPr>
          <w:rFonts w:ascii="宋体" w:hAnsi="宋体"/>
          <w:color w:val="000000" w:themeColor="text1"/>
        </w:rPr>
        <w:t>应按要求履行其安全职业健康职责。</w:t>
      </w:r>
    </w:p>
    <w:p>
      <w:pPr>
        <w:snapToGrid w:val="0"/>
        <w:ind w:firstLine="480" w:firstLineChars="200"/>
        <w:rPr>
          <w:rFonts w:ascii="宋体" w:hAnsi="宋体"/>
          <w:color w:val="000000" w:themeColor="text1"/>
        </w:rPr>
      </w:pPr>
      <w:r>
        <w:rPr>
          <w:rFonts w:ascii="宋体" w:hAnsi="宋体"/>
          <w:color w:val="000000" w:themeColor="text1"/>
        </w:rPr>
        <w:t>6.3.7承包商应制定生产安全事故隐患排查治理制度，采取技术、管理措施，及时发现并消除事故隐患。应如实记录事故隐患排查治理情况，并向从业人员通报。</w:t>
      </w:r>
    </w:p>
    <w:p>
      <w:pPr>
        <w:snapToGrid w:val="0"/>
        <w:ind w:firstLine="480" w:firstLineChars="200"/>
        <w:rPr>
          <w:rFonts w:ascii="宋体" w:hAnsi="宋体"/>
          <w:color w:val="000000" w:themeColor="text1"/>
        </w:rPr>
      </w:pPr>
      <w:r>
        <w:rPr>
          <w:rFonts w:ascii="宋体" w:hAnsi="宋体"/>
          <w:color w:val="000000" w:themeColor="text1"/>
        </w:rPr>
        <w:t>6.3.8当发生安全事故时，</w:t>
      </w:r>
      <w:r>
        <w:rPr>
          <w:rFonts w:hint="eastAsia" w:ascii="宋体" w:hAnsi="宋体"/>
          <w:color w:val="000000" w:themeColor="text1"/>
        </w:rPr>
        <w:t>承包商</w:t>
      </w:r>
      <w:r>
        <w:rPr>
          <w:rFonts w:ascii="宋体" w:hAnsi="宋体"/>
          <w:color w:val="000000" w:themeColor="text1"/>
        </w:rPr>
        <w:t>应立即启动应急预案，组织实施应急救援并按规定及时、如实报告。</w:t>
      </w:r>
    </w:p>
    <w:p>
      <w:pPr>
        <w:snapToGrid w:val="0"/>
        <w:ind w:firstLine="480" w:firstLineChars="200"/>
        <w:rPr>
          <w:rFonts w:ascii="宋体" w:hAnsi="宋体"/>
          <w:color w:val="000000" w:themeColor="text1"/>
        </w:rPr>
      </w:pPr>
      <w:bookmarkStart w:id="247" w:name="_Toc511143072"/>
      <w:bookmarkStart w:id="248" w:name="_Toc514167141"/>
      <w:r>
        <w:rPr>
          <w:rFonts w:ascii="宋体" w:hAnsi="宋体"/>
          <w:color w:val="000000" w:themeColor="text1"/>
        </w:rPr>
        <w:t>6.4环境管理</w:t>
      </w:r>
      <w:bookmarkEnd w:id="247"/>
      <w:bookmarkEnd w:id="248"/>
    </w:p>
    <w:p>
      <w:pPr>
        <w:snapToGrid w:val="0"/>
        <w:ind w:firstLine="480" w:firstLineChars="200"/>
        <w:rPr>
          <w:rFonts w:ascii="宋体" w:hAnsi="宋体"/>
          <w:color w:val="000000" w:themeColor="text1"/>
        </w:rPr>
      </w:pPr>
      <w:r>
        <w:rPr>
          <w:rFonts w:ascii="宋体" w:hAnsi="宋体"/>
          <w:color w:val="000000" w:themeColor="text1"/>
        </w:rPr>
        <w:t>6.4.1承包商应根据批准的建设项目环境影响评价文件，编制用于指导项目实施过程的项目环境保护计划，并按规定程序批准实施。</w:t>
      </w:r>
    </w:p>
    <w:p>
      <w:pPr>
        <w:snapToGrid w:val="0"/>
        <w:ind w:firstLine="480" w:firstLineChars="200"/>
        <w:rPr>
          <w:rFonts w:ascii="宋体" w:hAnsi="宋体"/>
          <w:color w:val="000000" w:themeColor="text1"/>
        </w:rPr>
      </w:pPr>
      <w:r>
        <w:rPr>
          <w:rFonts w:ascii="宋体" w:hAnsi="宋体"/>
          <w:color w:val="000000" w:themeColor="text1"/>
        </w:rPr>
        <w:t>6.4.2承包商应对项目环境保护计划的实施进行管理。</w:t>
      </w:r>
    </w:p>
    <w:p>
      <w:pPr>
        <w:snapToGrid w:val="0"/>
        <w:ind w:firstLine="480" w:firstLineChars="200"/>
        <w:rPr>
          <w:rFonts w:ascii="宋体" w:hAnsi="宋体"/>
          <w:color w:val="000000" w:themeColor="text1"/>
        </w:rPr>
      </w:pPr>
      <w:r>
        <w:rPr>
          <w:rFonts w:ascii="宋体" w:hAnsi="宋体"/>
          <w:color w:val="000000" w:themeColor="text1"/>
        </w:rPr>
        <w:t>6.4.3承包商应制定项目环境巡视检查和定期检查制度，对影响环境的因素应采取措施，记录并保存检查结果。</w:t>
      </w:r>
    </w:p>
    <w:p>
      <w:pPr>
        <w:snapToGrid w:val="0"/>
        <w:ind w:firstLine="480" w:firstLineChars="200"/>
        <w:rPr>
          <w:rFonts w:ascii="宋体" w:hAnsi="宋体"/>
          <w:color w:val="000000" w:themeColor="text1"/>
        </w:rPr>
      </w:pPr>
      <w:r>
        <w:rPr>
          <w:rFonts w:ascii="宋体" w:hAnsi="宋体"/>
          <w:color w:val="000000" w:themeColor="text1"/>
        </w:rPr>
        <w:t>6.4.4承包商应建立环境管理不符合状况的处置和调查程序，明确有关职责和权限，实施纠正和预防措施。</w:t>
      </w:r>
    </w:p>
    <w:p>
      <w:pPr>
        <w:outlineLvl w:val="1"/>
        <w:rPr>
          <w:b/>
          <w:color w:val="000000" w:themeColor="text1"/>
        </w:rPr>
      </w:pPr>
      <w:bookmarkStart w:id="249" w:name="_Toc439160076"/>
      <w:bookmarkStart w:id="250" w:name="_Toc511143073"/>
      <w:r>
        <w:rPr>
          <w:rFonts w:hint="eastAsia"/>
          <w:b/>
          <w:color w:val="000000" w:themeColor="text1"/>
        </w:rPr>
        <w:t>7</w:t>
      </w:r>
      <w:r>
        <w:rPr>
          <w:b/>
          <w:color w:val="000000" w:themeColor="text1"/>
        </w:rPr>
        <w:t>.</w:t>
      </w:r>
      <w:r>
        <w:rPr>
          <w:rFonts w:hint="eastAsia"/>
          <w:b/>
          <w:color w:val="000000" w:themeColor="text1"/>
        </w:rPr>
        <w:t>技术要求</w:t>
      </w:r>
      <w:bookmarkEnd w:id="249"/>
      <w:bookmarkEnd w:id="250"/>
    </w:p>
    <w:p>
      <w:pPr>
        <w:snapToGrid w:val="0"/>
        <w:ind w:firstLine="480" w:firstLineChars="200"/>
        <w:rPr>
          <w:rFonts w:ascii="宋体" w:hAnsi="宋体"/>
          <w:color w:val="000000" w:themeColor="text1"/>
        </w:rPr>
      </w:pPr>
      <w:r>
        <w:rPr>
          <w:rFonts w:hint="eastAsia" w:ascii="宋体" w:hAnsi="宋体"/>
          <w:color w:val="000000" w:themeColor="text1"/>
        </w:rPr>
        <w:t>7.1标准和规范</w:t>
      </w:r>
    </w:p>
    <w:p>
      <w:pPr>
        <w:snapToGrid w:val="0"/>
        <w:ind w:firstLine="480" w:firstLineChars="200"/>
        <w:rPr>
          <w:rFonts w:ascii="宋体" w:hAnsi="宋体"/>
          <w:color w:val="000000" w:themeColor="text1"/>
        </w:rPr>
      </w:pPr>
      <w:r>
        <w:rPr>
          <w:rFonts w:hint="eastAsia" w:ascii="宋体" w:hAnsi="宋体"/>
          <w:color w:val="000000" w:themeColor="text1"/>
        </w:rPr>
        <w:t>承包商需遵循现行的国家、行业以及地方的法律、法规和规定，其工作必须符合国家、行业以及地方的标准规范等相关规定，在第五章“合同条款”、“单项工程施工任务书”相关条款中明确。</w:t>
      </w:r>
    </w:p>
    <w:p>
      <w:pPr>
        <w:snapToGrid w:val="0"/>
        <w:ind w:firstLine="480" w:firstLineChars="200"/>
        <w:rPr>
          <w:rFonts w:ascii="宋体" w:hAnsi="宋体"/>
          <w:color w:val="000000" w:themeColor="text1"/>
        </w:rPr>
      </w:pPr>
      <w:r>
        <w:rPr>
          <w:rFonts w:hint="eastAsia" w:ascii="宋体" w:hAnsi="宋体"/>
          <w:color w:val="000000" w:themeColor="text1"/>
        </w:rPr>
        <w:t>7.2</w:t>
      </w:r>
      <w:r>
        <w:rPr>
          <w:rFonts w:ascii="宋体" w:hAnsi="宋体"/>
          <w:color w:val="000000" w:themeColor="text1"/>
        </w:rPr>
        <w:t>材料和工程设备技术要求</w:t>
      </w:r>
    </w:p>
    <w:p>
      <w:pPr>
        <w:snapToGrid w:val="0"/>
        <w:rPr>
          <w:rFonts w:ascii="宋体" w:hAnsi="宋体"/>
          <w:color w:val="000000" w:themeColor="text1"/>
        </w:rPr>
      </w:pPr>
      <w:r>
        <w:rPr>
          <w:rFonts w:hint="eastAsia" w:ascii="宋体" w:hAnsi="宋体"/>
          <w:color w:val="000000" w:themeColor="text1"/>
        </w:rPr>
        <w:t xml:space="preserve">    7</w:t>
      </w:r>
      <w:r>
        <w:rPr>
          <w:rFonts w:ascii="宋体" w:hAnsi="宋体"/>
          <w:color w:val="000000" w:themeColor="text1"/>
        </w:rPr>
        <w:t>.</w:t>
      </w:r>
      <w:r>
        <w:rPr>
          <w:rFonts w:hint="eastAsia" w:ascii="宋体" w:hAnsi="宋体"/>
          <w:color w:val="000000" w:themeColor="text1"/>
        </w:rPr>
        <w:t>2.1承包商自行施工范围内的部分</w:t>
      </w:r>
      <w:r>
        <w:rPr>
          <w:rFonts w:ascii="宋体" w:hAnsi="宋体"/>
          <w:color w:val="000000" w:themeColor="text1"/>
        </w:rPr>
        <w:t>材料和工程设备技术要求</w:t>
      </w:r>
      <w:r>
        <w:rPr>
          <w:rFonts w:hint="eastAsia" w:ascii="宋体" w:hAnsi="宋体"/>
          <w:color w:val="000000" w:themeColor="text1"/>
        </w:rPr>
        <w:t>：主材采购需经发包人确认方可采购，材料进场前需经发包人确认，材料合格资料有承包人保管，最后存入竣工资料。所有混凝土需采用商品混泥土。主材需按规范做检测试验，并提供试验报告。</w:t>
      </w:r>
    </w:p>
    <w:p>
      <w:pPr>
        <w:rPr>
          <w:rFonts w:ascii="宋体" w:hAnsi="宋体"/>
          <w:color w:val="000000" w:themeColor="text1"/>
        </w:rPr>
      </w:pPr>
      <w:r>
        <w:rPr>
          <w:rFonts w:hint="eastAsia" w:ascii="宋体" w:hAnsi="宋体"/>
          <w:color w:val="000000" w:themeColor="text1"/>
        </w:rPr>
        <w:t xml:space="preserve">    </w:t>
      </w:r>
      <w:bookmarkStart w:id="251" w:name="_Toc511143074"/>
      <w:bookmarkStart w:id="252" w:name="_Toc514167143"/>
      <w:r>
        <w:rPr>
          <w:rFonts w:hint="eastAsia" w:ascii="宋体" w:hAnsi="宋体"/>
          <w:color w:val="000000" w:themeColor="text1"/>
        </w:rPr>
        <w:t>7.2.2设备监造、试验</w:t>
      </w:r>
      <w:bookmarkEnd w:id="251"/>
      <w:bookmarkEnd w:id="252"/>
    </w:p>
    <w:p>
      <w:pPr>
        <w:snapToGrid w:val="0"/>
        <w:ind w:firstLine="480" w:firstLineChars="200"/>
        <w:rPr>
          <w:rFonts w:ascii="宋体" w:hAnsi="宋体"/>
          <w:color w:val="000000" w:themeColor="text1"/>
          <w:szCs w:val="18"/>
        </w:rPr>
      </w:pPr>
      <w:r>
        <w:rPr>
          <w:rFonts w:hint="eastAsia" w:ascii="宋体" w:hAnsi="宋体"/>
          <w:color w:val="000000" w:themeColor="text1"/>
          <w:szCs w:val="18"/>
        </w:rPr>
        <w:t>无</w:t>
      </w:r>
    </w:p>
    <w:p>
      <w:pPr>
        <w:rPr>
          <w:rFonts w:ascii="宋体" w:hAnsi="宋体"/>
          <w:color w:val="000000" w:themeColor="text1"/>
        </w:rPr>
      </w:pPr>
      <w:r>
        <w:rPr>
          <w:rFonts w:hint="eastAsia" w:ascii="宋体" w:hAnsi="宋体"/>
          <w:color w:val="000000" w:themeColor="text1"/>
        </w:rPr>
        <w:t xml:space="preserve">    </w:t>
      </w:r>
      <w:bookmarkStart w:id="253" w:name="_Toc511143075"/>
      <w:bookmarkStart w:id="254" w:name="_Toc514167144"/>
      <w:r>
        <w:rPr>
          <w:rFonts w:hint="eastAsia" w:ascii="宋体" w:hAnsi="宋体"/>
          <w:color w:val="000000" w:themeColor="text1"/>
        </w:rPr>
        <w:t>7.3特殊技术要求</w:t>
      </w:r>
      <w:bookmarkEnd w:id="253"/>
      <w:bookmarkEnd w:id="254"/>
    </w:p>
    <w:p>
      <w:pPr>
        <w:snapToGrid w:val="0"/>
        <w:jc w:val="left"/>
        <w:rPr>
          <w:rFonts w:ascii="宋体" w:hAnsi="宋体"/>
          <w:color w:val="000000" w:themeColor="text1"/>
        </w:rPr>
      </w:pPr>
      <w:r>
        <w:rPr>
          <w:rFonts w:hint="eastAsia" w:ascii="宋体" w:hAnsi="宋体"/>
          <w:color w:val="000000" w:themeColor="text1"/>
        </w:rPr>
        <w:t xml:space="preserve">  </w:t>
      </w:r>
      <w:r>
        <w:rPr>
          <w:rFonts w:hint="eastAsia" w:ascii="宋体" w:hAnsi="宋体"/>
          <w:b/>
          <w:color w:val="000000" w:themeColor="text1"/>
        </w:rPr>
        <w:t xml:space="preserve">  </w:t>
      </w:r>
      <w:r>
        <w:rPr>
          <w:rFonts w:hint="eastAsia" w:ascii="宋体" w:hAnsi="宋体"/>
          <w:color w:val="000000" w:themeColor="text1"/>
        </w:rPr>
        <w:t>无</w:t>
      </w:r>
    </w:p>
    <w:p>
      <w:pPr>
        <w:outlineLvl w:val="1"/>
        <w:rPr>
          <w:rFonts w:ascii="宋体" w:hAnsi="宋体"/>
          <w:b/>
          <w:color w:val="000000" w:themeColor="text1"/>
        </w:rPr>
      </w:pPr>
      <w:bookmarkStart w:id="255" w:name="_Toc439160077"/>
      <w:bookmarkStart w:id="256" w:name="_Toc511143076"/>
      <w:r>
        <w:rPr>
          <w:rFonts w:hint="eastAsia" w:ascii="宋体" w:hAnsi="宋体"/>
          <w:b/>
          <w:color w:val="000000" w:themeColor="text1"/>
          <w:szCs w:val="18"/>
        </w:rPr>
        <w:t>8</w:t>
      </w:r>
      <w:r>
        <w:rPr>
          <w:rFonts w:ascii="宋体" w:hAnsi="宋体"/>
          <w:b/>
          <w:color w:val="000000" w:themeColor="text1"/>
        </w:rPr>
        <w:t>.</w:t>
      </w:r>
      <w:r>
        <w:rPr>
          <w:rFonts w:hint="eastAsia"/>
          <w:b/>
          <w:bCs/>
          <w:color w:val="000000" w:themeColor="text1"/>
        </w:rPr>
        <w:t>单机试车、</w:t>
      </w:r>
      <w:r>
        <w:rPr>
          <w:rFonts w:hint="eastAsia" w:ascii="宋体" w:hAnsi="宋体"/>
          <w:b/>
          <w:color w:val="000000" w:themeColor="text1"/>
        </w:rPr>
        <w:t>投产试运行、交工验收和竣工验收</w:t>
      </w:r>
      <w:bookmarkEnd w:id="255"/>
      <w:bookmarkEnd w:id="256"/>
      <w:bookmarkStart w:id="257" w:name="_Toc439160078"/>
    </w:p>
    <w:p>
      <w:pPr>
        <w:rPr>
          <w:color w:val="000000" w:themeColor="text1"/>
        </w:rPr>
      </w:pPr>
      <w:r>
        <w:rPr>
          <w:rFonts w:hint="eastAsia"/>
          <w:color w:val="000000" w:themeColor="text1"/>
        </w:rPr>
        <w:t xml:space="preserve">    详见第五章“合同条款”中相关条款及附件的规定。</w:t>
      </w:r>
    </w:p>
    <w:bookmarkEnd w:id="257"/>
    <w:p>
      <w:pPr>
        <w:snapToGrid w:val="0"/>
        <w:outlineLvl w:val="1"/>
        <w:rPr>
          <w:rFonts w:ascii="宋体" w:hAnsi="宋体"/>
          <w:b/>
          <w:color w:val="000000" w:themeColor="text1"/>
        </w:rPr>
      </w:pPr>
      <w:r>
        <w:rPr>
          <w:rFonts w:hint="eastAsia" w:ascii="宋体" w:hAnsi="宋体"/>
          <w:b/>
          <w:color w:val="000000" w:themeColor="text1"/>
        </w:rPr>
        <w:t>9.采购人关注的问题及其他</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（1）工程分包控制措施；</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（2）特殊作业及危险性较大的施工现场必须配备安全视频监控设施、安全防护并专款专用的措施；</w:t>
      </w:r>
      <w:r>
        <w:rPr>
          <w:rFonts w:ascii="宋体" w:hAnsi="宋体"/>
          <w:color w:val="000000" w:themeColor="text1"/>
          <w:szCs w:val="18"/>
        </w:rPr>
        <w:t xml:space="preserve"> </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（3）对施工过程中存在的危害因素进行风险分析，制定安全措施和应急预案的措施；</w:t>
      </w:r>
    </w:p>
    <w:p>
      <w:pPr>
        <w:snapToGrid w:val="0"/>
        <w:ind w:firstLine="480" w:firstLineChars="200"/>
        <w:rPr>
          <w:rFonts w:ascii="宋体" w:hAnsi="宋体"/>
          <w:color w:val="000000" w:themeColor="text1"/>
          <w:szCs w:val="18"/>
        </w:rPr>
      </w:pPr>
      <w:r>
        <w:rPr>
          <w:rFonts w:hint="eastAsia" w:ascii="宋体" w:hAnsi="宋体"/>
          <w:color w:val="000000" w:themeColor="text1"/>
          <w:szCs w:val="18"/>
        </w:rPr>
        <w:t>（4）现场管理人员、特种作业人员的配备措施。</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211"/>
    <w:bookmarkEnd w:id="212"/>
    <w:p>
      <w:pPr>
        <w:snapToGrid w:val="0"/>
        <w:jc w:val="left"/>
        <w:outlineLvl w:val="0"/>
        <w:rPr>
          <w:b/>
          <w:bCs/>
          <w:color w:val="000000" w:themeColor="text1"/>
          <w:sz w:val="44"/>
          <w:szCs w:val="44"/>
        </w:rPr>
      </w:pPr>
      <w:bookmarkStart w:id="258" w:name="_Toc402858990"/>
      <w:bookmarkStart w:id="259" w:name="_Toc20642715"/>
      <w:r>
        <w:rPr>
          <w:b/>
          <w:bCs/>
          <w:color w:val="000000" w:themeColor="text1"/>
          <w:sz w:val="44"/>
          <w:szCs w:val="44"/>
        </w:rPr>
        <w:t>第</w:t>
      </w:r>
      <w:r>
        <w:rPr>
          <w:rFonts w:hint="eastAsia"/>
          <w:b/>
          <w:bCs/>
          <w:color w:val="000000" w:themeColor="text1"/>
          <w:sz w:val="44"/>
          <w:szCs w:val="44"/>
        </w:rPr>
        <w:t>七</w:t>
      </w:r>
      <w:r>
        <w:rPr>
          <w:b/>
          <w:bCs/>
          <w:color w:val="000000" w:themeColor="text1"/>
          <w:sz w:val="44"/>
          <w:szCs w:val="44"/>
        </w:rPr>
        <w:t>章</w:t>
      </w:r>
      <w:r>
        <w:rPr>
          <w:rFonts w:hint="eastAsia"/>
          <w:b/>
          <w:bCs/>
          <w:color w:val="000000" w:themeColor="text1"/>
          <w:sz w:val="44"/>
          <w:szCs w:val="44"/>
        </w:rPr>
        <w:t xml:space="preserve"> 响应文件格式</w:t>
      </w:r>
      <w:bookmarkEnd w:id="258"/>
      <w:bookmarkEnd w:id="259"/>
    </w:p>
    <w:bookmarkEnd w:id="200"/>
    <w:bookmarkEnd w:id="201"/>
    <w:bookmarkEnd w:id="202"/>
    <w:bookmarkEnd w:id="203"/>
    <w:bookmarkEnd w:id="204"/>
    <w:bookmarkEnd w:id="205"/>
    <w:bookmarkEnd w:id="206"/>
    <w:bookmarkEnd w:id="207"/>
    <w:bookmarkEnd w:id="208"/>
    <w:p>
      <w:pPr>
        <w:keepNext/>
        <w:keepLines/>
        <w:adjustRightInd w:val="0"/>
        <w:snapToGrid w:val="0"/>
        <w:outlineLvl w:val="1"/>
        <w:rPr>
          <w:rFonts w:ascii="楷体" w:hAnsi="楷体" w:eastAsia="楷体"/>
          <w:bCs/>
          <w:color w:val="000000" w:themeColor="text1"/>
          <w:kern w:val="0"/>
          <w:sz w:val="21"/>
          <w:szCs w:val="21"/>
        </w:rPr>
      </w:pPr>
      <w:bookmarkStart w:id="260" w:name="_Toc526793415"/>
      <w:bookmarkStart w:id="261" w:name="_Toc439161048"/>
      <w:bookmarkStart w:id="262" w:name="_Toc476578894"/>
      <w:bookmarkStart w:id="263" w:name="_Toc410986485"/>
      <w:bookmarkStart w:id="264" w:name="_Toc20642716"/>
      <w:bookmarkStart w:id="265" w:name="_Toc102618990"/>
      <w:bookmarkStart w:id="266" w:name="_Toc102356289"/>
      <w:bookmarkStart w:id="267" w:name="_Toc102027493"/>
      <w:bookmarkStart w:id="268" w:name="_Toc102209367"/>
      <w:bookmarkStart w:id="269" w:name="_Toc102626931"/>
      <w:bookmarkStart w:id="270" w:name="_Toc102027100"/>
      <w:bookmarkStart w:id="271" w:name="_Toc102033245"/>
      <w:bookmarkStart w:id="272" w:name="_Toc102361429"/>
      <w:bookmarkStart w:id="273" w:name="_Toc103310990"/>
      <w:bookmarkStart w:id="274" w:name="_Toc111861319"/>
      <w:bookmarkStart w:id="275" w:name="_Toc111887230"/>
      <w:bookmarkStart w:id="276" w:name="_Toc112315450"/>
      <w:bookmarkStart w:id="277" w:name="_Toc112317433"/>
      <w:bookmarkStart w:id="278" w:name="_Toc102292386"/>
      <w:bookmarkStart w:id="279" w:name="_Toc102296854"/>
      <w:bookmarkStart w:id="280" w:name="_Toc113186353"/>
      <w:bookmarkStart w:id="281" w:name="_Toc125876046"/>
      <w:bookmarkStart w:id="282" w:name="_Toc113161115"/>
      <w:bookmarkStart w:id="283" w:name="_Toc124931500"/>
      <w:bookmarkStart w:id="284" w:name="_Toc128275948"/>
      <w:bookmarkStart w:id="285" w:name="_Toc122197404"/>
      <w:bookmarkStart w:id="286" w:name="_Toc112319082"/>
      <w:bookmarkStart w:id="287" w:name="_Toc113160711"/>
      <w:bookmarkStart w:id="288" w:name="_Toc113185835"/>
      <w:bookmarkStart w:id="289" w:name="_Toc113187886"/>
      <w:bookmarkStart w:id="290" w:name="_Toc122194407"/>
      <w:bookmarkStart w:id="291" w:name="_Toc101537929"/>
      <w:bookmarkStart w:id="292" w:name="_Toc122232528"/>
      <w:bookmarkStart w:id="293" w:name="_Toc113186642"/>
      <w:bookmarkStart w:id="294" w:name="_Toc122192831"/>
      <w:bookmarkStart w:id="295" w:name="_Toc122169127"/>
      <w:bookmarkStart w:id="296" w:name="_Toc112432701"/>
      <w:bookmarkStart w:id="297" w:name="_Toc113187713"/>
      <w:bookmarkStart w:id="298" w:name="_Toc122193552"/>
      <w:bookmarkStart w:id="299" w:name="_Toc113416763"/>
      <w:bookmarkStart w:id="300" w:name="_Toc101770495"/>
      <w:bookmarkStart w:id="301" w:name="_Toc124582947"/>
      <w:bookmarkStart w:id="302" w:name="_Toc122194048"/>
      <w:bookmarkStart w:id="303" w:name="_Toc122194169"/>
      <w:bookmarkStart w:id="304" w:name="_Toc122195165"/>
      <w:bookmarkStart w:id="305" w:name="_Toc122233900"/>
      <w:bookmarkStart w:id="306" w:name="_Toc124585245"/>
      <w:bookmarkStart w:id="307" w:name="_Toc124587093"/>
      <w:bookmarkStart w:id="308" w:name="_Toc125875577"/>
      <w:bookmarkStart w:id="309" w:name="_Toc125879656"/>
      <w:bookmarkStart w:id="310" w:name="_Toc127086592"/>
      <w:bookmarkStart w:id="311" w:name="_Toc101928087"/>
      <w:bookmarkStart w:id="312" w:name="_Toc101578468"/>
      <w:bookmarkStart w:id="313" w:name="_Toc101669874"/>
      <w:bookmarkStart w:id="314" w:name="_Toc101671656"/>
      <w:bookmarkStart w:id="315" w:name="_Toc101671767"/>
      <w:bookmarkStart w:id="316" w:name="_Toc101538275"/>
      <w:bookmarkStart w:id="317" w:name="_Toc101672164"/>
      <w:bookmarkStart w:id="318" w:name="_Toc101319254"/>
      <w:bookmarkStart w:id="319" w:name="_Toc129158001"/>
      <w:bookmarkStart w:id="320" w:name="_Toc138474720"/>
      <w:bookmarkStart w:id="321" w:name="_Toc101514718"/>
      <w:bookmarkStart w:id="322" w:name="_Toc252825503"/>
      <w:bookmarkStart w:id="323" w:name="_Toc101536898"/>
      <w:bookmarkStart w:id="324" w:name="_Toc135379678"/>
      <w:bookmarkStart w:id="325" w:name="_Toc101510619"/>
      <w:bookmarkStart w:id="326" w:name="_Toc101538009"/>
      <w:bookmarkStart w:id="327" w:name="_Toc101515207"/>
      <w:bookmarkStart w:id="328" w:name="_Toc249408509"/>
      <w:bookmarkStart w:id="329" w:name="_Toc101343852"/>
      <w:bookmarkStart w:id="330" w:name="_Toc101319733"/>
      <w:bookmarkStart w:id="331" w:name="_Toc101327577"/>
      <w:bookmarkStart w:id="332" w:name="_Toc101345111"/>
      <w:bookmarkStart w:id="333" w:name="_Toc101345193"/>
      <w:bookmarkStart w:id="334" w:name="_Toc101348885"/>
      <w:bookmarkStart w:id="335" w:name="_Toc128819094"/>
      <w:bookmarkStart w:id="336" w:name="_Toc101345022"/>
      <w:bookmarkStart w:id="337" w:name="_Toc128443781"/>
      <w:bookmarkStart w:id="338" w:name="_Toc101343133"/>
      <w:bookmarkStart w:id="339" w:name="_Toc101514342"/>
      <w:bookmarkStart w:id="340" w:name="_Toc101514540"/>
      <w:bookmarkStart w:id="341" w:name="_Toc101514952"/>
      <w:bookmarkStart w:id="342" w:name="_Toc101515144"/>
      <w:bookmarkStart w:id="343" w:name="_Toc101538236"/>
      <w:bookmarkStart w:id="344" w:name="_Toc101918216"/>
      <w:bookmarkStart w:id="345" w:name="_Toc101965332"/>
      <w:bookmarkStart w:id="346" w:name="_Toc101688793"/>
      <w:bookmarkStart w:id="347" w:name="_Toc101969020"/>
      <w:bookmarkStart w:id="348" w:name="_Toc101951611"/>
      <w:bookmarkStart w:id="349" w:name="_Toc101967190"/>
      <w:bookmarkStart w:id="350" w:name="_Toc101864800"/>
      <w:bookmarkStart w:id="351" w:name="_Toc101800330"/>
      <w:bookmarkStart w:id="352" w:name="_Toc101854352"/>
      <w:bookmarkStart w:id="353" w:name="_Toc101964817"/>
      <w:bookmarkStart w:id="354" w:name="_Toc101864698"/>
      <w:bookmarkStart w:id="355" w:name="_Toc101842026"/>
      <w:bookmarkStart w:id="356" w:name="_Toc101852812"/>
      <w:bookmarkStart w:id="357" w:name="_Toc101799306"/>
      <w:bookmarkStart w:id="358" w:name="_Toc101687749"/>
      <w:bookmarkStart w:id="359" w:name="_Toc101772406"/>
      <w:bookmarkStart w:id="360" w:name="_Toc101888221"/>
      <w:bookmarkStart w:id="361" w:name="_Toc101968497"/>
      <w:bookmarkStart w:id="362" w:name="_Toc83820487"/>
      <w:bookmarkStart w:id="363" w:name="_Toc258163154"/>
      <w:bookmarkStart w:id="364" w:name="_Toc324834383"/>
      <w:bookmarkStart w:id="365" w:name="_Toc325944179"/>
      <w:bookmarkStart w:id="366" w:name="_Toc325959956"/>
      <w:bookmarkStart w:id="367" w:name="_Toc262493486"/>
      <w:bookmarkStart w:id="368" w:name="_Toc296088442"/>
      <w:r>
        <w:rPr>
          <w:rFonts w:hint="eastAsia" w:ascii="Arial" w:hAnsi="宋体"/>
          <w:b/>
          <w:bCs/>
          <w:color w:val="000000" w:themeColor="text1"/>
          <w:kern w:val="0"/>
        </w:rPr>
        <w:t>一、</w:t>
      </w:r>
      <w:bookmarkEnd w:id="260"/>
      <w:bookmarkEnd w:id="261"/>
      <w:bookmarkEnd w:id="262"/>
      <w:bookmarkEnd w:id="263"/>
      <w:r>
        <w:rPr>
          <w:rFonts w:hint="eastAsia" w:ascii="Arial" w:hAnsi="宋体"/>
          <w:b/>
          <w:bCs/>
          <w:color w:val="000000" w:themeColor="text1"/>
          <w:kern w:val="0"/>
          <w:szCs w:val="32"/>
        </w:rPr>
        <w:t>响应文件格式</w:t>
      </w:r>
      <w:bookmarkEnd w:id="264"/>
    </w:p>
    <w:p>
      <w:pPr>
        <w:pStyle w:val="32"/>
        <w:adjustRightInd w:val="0"/>
        <w:snapToGrid w:val="0"/>
        <w:rPr>
          <w:rFonts w:hAnsi="宋体"/>
          <w:color w:val="000000" w:themeColor="text1"/>
          <w:sz w:val="24"/>
          <w:szCs w:val="24"/>
        </w:rPr>
      </w:pPr>
      <w:r>
        <w:rPr>
          <w:rFonts w:hint="eastAsia" w:hAnsi="宋体"/>
          <w:color w:val="000000" w:themeColor="text1"/>
          <w:sz w:val="24"/>
          <w:szCs w:val="24"/>
        </w:rPr>
        <w:t>响应文件</w:t>
      </w:r>
      <w:r>
        <w:rPr>
          <w:rFonts w:hAnsi="宋体"/>
          <w:color w:val="000000" w:themeColor="text1"/>
          <w:sz w:val="24"/>
          <w:szCs w:val="24"/>
        </w:rPr>
        <w:t>封面</w:t>
      </w:r>
      <w:r>
        <w:rPr>
          <w:rFonts w:ascii="楷体" w:hAnsi="楷体" w:eastAsia="楷体"/>
          <w:bCs/>
          <w:color w:val="000000" w:themeColor="text1"/>
          <w:sz w:val="18"/>
          <w:szCs w:val="18"/>
        </w:rPr>
        <w:t>（格式见附件1）</w:t>
      </w:r>
    </w:p>
    <w:p>
      <w:pPr>
        <w:pStyle w:val="32"/>
        <w:adjustRightInd w:val="0"/>
        <w:snapToGrid w:val="0"/>
        <w:rPr>
          <w:rFonts w:ascii="楷体" w:hAnsi="楷体" w:eastAsia="楷体"/>
          <w:bCs/>
          <w:color w:val="000000" w:themeColor="text1"/>
          <w:sz w:val="21"/>
        </w:rPr>
      </w:pPr>
      <w:r>
        <w:rPr>
          <w:rFonts w:hAnsi="宋体"/>
          <w:color w:val="000000" w:themeColor="text1"/>
          <w:sz w:val="32"/>
          <w:szCs w:val="32"/>
        </w:rPr>
        <w:t>目录</w:t>
      </w:r>
      <w:r>
        <w:rPr>
          <w:rFonts w:hint="eastAsia" w:ascii="楷体" w:hAnsi="楷体" w:eastAsia="楷体"/>
          <w:bCs/>
          <w:color w:val="000000" w:themeColor="text1"/>
          <w:sz w:val="18"/>
          <w:szCs w:val="18"/>
        </w:rPr>
        <w:t>（响应文件内容按以下顺序编制，</w:t>
      </w:r>
      <w:r>
        <w:rPr>
          <w:rFonts w:hint="eastAsia" w:ascii="楷体" w:hAnsi="楷体" w:eastAsia="楷体"/>
          <w:b/>
          <w:color w:val="000000" w:themeColor="text1"/>
          <w:sz w:val="24"/>
        </w:rPr>
        <w:t>楷体加粗部分</w:t>
      </w:r>
      <w:r>
        <w:rPr>
          <w:rFonts w:hint="eastAsia" w:ascii="楷体" w:hAnsi="楷体" w:eastAsia="楷体"/>
          <w:bCs/>
          <w:color w:val="000000" w:themeColor="text1"/>
          <w:sz w:val="18"/>
          <w:szCs w:val="18"/>
        </w:rPr>
        <w:t>为目录项，须编制对应连续页码）</w:t>
      </w:r>
    </w:p>
    <w:p>
      <w:pPr>
        <w:pStyle w:val="32"/>
        <w:adjustRightInd w:val="0"/>
        <w:snapToGrid w:val="0"/>
        <w:rPr>
          <w:rFonts w:ascii="楷体" w:hAnsi="楷体" w:eastAsia="楷体"/>
          <w:bCs/>
          <w:color w:val="000000" w:themeColor="text1"/>
          <w:sz w:val="18"/>
          <w:szCs w:val="18"/>
        </w:rPr>
      </w:pPr>
      <w:r>
        <w:rPr>
          <w:rFonts w:hint="eastAsia" w:ascii="楷体" w:hAnsi="楷体" w:eastAsia="楷体"/>
          <w:b/>
          <w:color w:val="000000" w:themeColor="text1"/>
          <w:sz w:val="24"/>
        </w:rPr>
        <w:t>1.响应函</w:t>
      </w:r>
      <w:r>
        <w:rPr>
          <w:rFonts w:ascii="楷体" w:hAnsi="楷体" w:eastAsia="楷体"/>
          <w:bCs/>
          <w:color w:val="000000" w:themeColor="text1"/>
          <w:sz w:val="18"/>
          <w:szCs w:val="18"/>
        </w:rPr>
        <w:t>（格式见附件2）</w:t>
      </w:r>
    </w:p>
    <w:p>
      <w:pPr>
        <w:adjustRightInd w:val="0"/>
        <w:snapToGrid w:val="0"/>
        <w:rPr>
          <w:rFonts w:ascii="楷体" w:hAnsi="楷体" w:eastAsia="楷体"/>
          <w:b/>
          <w:color w:val="000000" w:themeColor="text1"/>
        </w:rPr>
      </w:pPr>
      <w:r>
        <w:rPr>
          <w:rFonts w:ascii="楷体" w:hAnsi="楷体" w:eastAsia="楷体"/>
          <w:b/>
          <w:color w:val="000000" w:themeColor="text1"/>
        </w:rPr>
        <w:t xml:space="preserve">…… </w:t>
      </w:r>
    </w:p>
    <w:p>
      <w:pPr>
        <w:snapToGrid w:val="0"/>
        <w:rPr>
          <w:rFonts w:ascii="楷体" w:hAnsi="楷体" w:eastAsia="楷体"/>
          <w:b/>
          <w:color w:val="000000" w:themeColor="text1"/>
          <w:kern w:val="0"/>
          <w:szCs w:val="21"/>
        </w:rPr>
      </w:pPr>
      <w:r>
        <w:rPr>
          <w:rFonts w:hint="eastAsia" w:ascii="楷体" w:hAnsi="楷体" w:eastAsia="楷体"/>
          <w:b/>
          <w:color w:val="000000" w:themeColor="text1"/>
          <w:kern w:val="0"/>
          <w:szCs w:val="21"/>
        </w:rPr>
        <w:t>x.报价文件/报价表</w:t>
      </w:r>
    </w:p>
    <w:p>
      <w:pPr>
        <w:snapToGrid w:val="0"/>
        <w:rPr>
          <w:rFonts w:ascii="楷体" w:hAnsi="楷体" w:eastAsia="楷体"/>
          <w:b/>
          <w:color w:val="000000" w:themeColor="text1"/>
          <w:kern w:val="0"/>
          <w:szCs w:val="21"/>
        </w:rPr>
      </w:pPr>
      <w:r>
        <w:rPr>
          <w:rFonts w:hint="eastAsia" w:ascii="楷体" w:hAnsi="楷体" w:eastAsia="楷体"/>
          <w:b/>
          <w:color w:val="000000" w:themeColor="text1"/>
          <w:kern w:val="0"/>
          <w:szCs w:val="21"/>
        </w:rPr>
        <w:t>x.技术方案等</w:t>
      </w:r>
    </w:p>
    <w:p>
      <w:pPr>
        <w:rPr>
          <w:rFonts w:ascii="宋体" w:hAnsi="宋体"/>
          <w:color w:val="000000" w:themeColor="text1"/>
        </w:rPr>
      </w:pPr>
      <w:r>
        <w:rPr>
          <w:rFonts w:ascii="宋体" w:hAnsi="宋体"/>
          <w:color w:val="000000" w:themeColor="text1"/>
        </w:rPr>
        <w:t>……</w:t>
      </w:r>
    </w:p>
    <w:p>
      <w:pPr>
        <w:adjustRightInd w:val="0"/>
        <w:snapToGrid w:val="0"/>
        <w:rPr>
          <w:rFonts w:ascii="楷体" w:hAnsi="楷体" w:eastAsia="楷体"/>
          <w:b/>
          <w:color w:val="000000" w:themeColor="text1"/>
        </w:rPr>
      </w:pPr>
      <w:r>
        <w:rPr>
          <w:rFonts w:hint="eastAsia" w:ascii="楷体" w:hAnsi="楷体" w:eastAsia="楷体"/>
          <w:b/>
          <w:color w:val="000000" w:themeColor="text1"/>
        </w:rPr>
        <w:t>x.初步评审条件证明材料复印件</w:t>
      </w:r>
    </w:p>
    <w:p>
      <w:pPr>
        <w:autoSpaceDE w:val="0"/>
        <w:autoSpaceDN w:val="0"/>
        <w:adjustRightInd w:val="0"/>
        <w:snapToGrid w:val="0"/>
        <w:rPr>
          <w:rFonts w:ascii="楷体" w:hAnsi="楷体" w:eastAsia="楷体"/>
          <w:b/>
          <w:color w:val="000000" w:themeColor="text1"/>
        </w:rPr>
      </w:pPr>
      <w:r>
        <w:rPr>
          <w:rFonts w:ascii="楷体" w:hAnsi="楷体" w:eastAsia="楷体"/>
          <w:b/>
          <w:color w:val="000000" w:themeColor="text1"/>
        </w:rPr>
        <w:t>……</w:t>
      </w:r>
    </w:p>
    <w:p>
      <w:pPr>
        <w:pStyle w:val="3"/>
        <w:rPr>
          <w:rFonts w:ascii="楷体" w:hAnsi="楷体" w:eastAsia="楷体"/>
          <w:bCs w:val="0"/>
          <w:color w:val="000000" w:themeColor="text1"/>
          <w:sz w:val="21"/>
          <w:szCs w:val="21"/>
        </w:rPr>
      </w:pPr>
      <w:bookmarkStart w:id="369" w:name="_Toc20642717"/>
      <w:r>
        <w:rPr>
          <w:rFonts w:hint="eastAsia" w:hAnsi="宋体"/>
          <w:bCs w:val="0"/>
          <w:color w:val="000000" w:themeColor="text1"/>
        </w:rPr>
        <w:t>二、补充响应文件格式</w:t>
      </w:r>
      <w:r>
        <w:rPr>
          <w:rFonts w:hint="eastAsia" w:ascii="楷体" w:hAnsi="楷体" w:eastAsia="楷体"/>
          <w:b w:val="0"/>
          <w:bCs w:val="0"/>
          <w:color w:val="000000" w:themeColor="text1"/>
          <w:sz w:val="18"/>
          <w:szCs w:val="18"/>
        </w:rPr>
        <w:t>（适用于公开招标采购转独家谈判的情形）</w:t>
      </w:r>
      <w:bookmarkEnd w:id="369"/>
    </w:p>
    <w:p>
      <w:pPr>
        <w:adjustRightInd w:val="0"/>
        <w:snapToGrid w:val="0"/>
        <w:rPr>
          <w:rFonts w:ascii="楷体" w:hAnsi="楷体" w:eastAsia="楷体"/>
          <w:bCs/>
          <w:color w:val="000000" w:themeColor="text1"/>
          <w:kern w:val="0"/>
          <w:sz w:val="18"/>
          <w:szCs w:val="18"/>
        </w:rPr>
      </w:pPr>
      <w:r>
        <w:rPr>
          <w:rFonts w:hint="eastAsia" w:asciiTheme="minorEastAsia" w:hAnsiTheme="minorEastAsia" w:eastAsiaTheme="minorEastAsia"/>
          <w:color w:val="000000" w:themeColor="text1"/>
        </w:rPr>
        <w:t>1.补充响应文件</w:t>
      </w:r>
      <w:r>
        <w:rPr>
          <w:rFonts w:asciiTheme="minorEastAsia" w:hAnsiTheme="minorEastAsia" w:eastAsiaTheme="minorEastAsia"/>
          <w:color w:val="000000" w:themeColor="text1"/>
        </w:rPr>
        <w:t>封面</w:t>
      </w:r>
      <w:r>
        <w:rPr>
          <w:rFonts w:ascii="楷体" w:hAnsi="楷体" w:eastAsia="楷体"/>
          <w:bCs/>
          <w:color w:val="000000" w:themeColor="text1"/>
          <w:kern w:val="0"/>
          <w:sz w:val="18"/>
          <w:szCs w:val="18"/>
        </w:rPr>
        <w:t>（格式见附件</w:t>
      </w:r>
      <w:r>
        <w:rPr>
          <w:rFonts w:hint="eastAsia" w:ascii="楷体" w:hAnsi="楷体" w:eastAsia="楷体"/>
          <w:bCs/>
          <w:color w:val="000000" w:themeColor="text1"/>
          <w:kern w:val="0"/>
          <w:sz w:val="18"/>
          <w:szCs w:val="18"/>
        </w:rPr>
        <w:t>x</w:t>
      </w:r>
      <w:r>
        <w:rPr>
          <w:rFonts w:ascii="楷体" w:hAnsi="楷体" w:eastAsia="楷体"/>
          <w:bCs/>
          <w:color w:val="000000" w:themeColor="text1"/>
          <w:kern w:val="0"/>
          <w:sz w:val="18"/>
          <w:szCs w:val="18"/>
        </w:rPr>
        <w:t>）</w:t>
      </w:r>
    </w:p>
    <w:p>
      <w:pPr>
        <w:adjustRightInd w:val="0"/>
        <w:snapToGrid w:val="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2.报价响应部分</w:t>
      </w:r>
    </w:p>
    <w:p>
      <w:pPr>
        <w:adjustRightInd w:val="0"/>
        <w:snapToGrid w:val="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3.技术响应部分</w:t>
      </w:r>
    </w:p>
    <w:p>
      <w:pPr>
        <w:adjustRightInd w:val="0"/>
        <w:snapToGrid w:val="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4.服务及其他</w:t>
      </w:r>
    </w:p>
    <w:p>
      <w:pPr>
        <w:pStyle w:val="3"/>
        <w:adjustRightInd w:val="0"/>
        <w:snapToGrid w:val="0"/>
        <w:rPr>
          <w:rFonts w:hAnsi="宋体"/>
          <w:color w:val="000000" w:themeColor="text1"/>
          <w:szCs w:val="24"/>
        </w:rPr>
      </w:pPr>
      <w:bookmarkStart w:id="370" w:name="_Toc20642718"/>
      <w:r>
        <w:rPr>
          <w:rFonts w:hint="eastAsia" w:hAnsi="宋体"/>
          <w:color w:val="000000" w:themeColor="text1"/>
          <w:szCs w:val="24"/>
        </w:rPr>
        <w:t>三、附件格式</w:t>
      </w:r>
      <w:bookmarkEnd w:id="370"/>
    </w:p>
    <w:p>
      <w:pPr>
        <w:widowControl/>
        <w:spacing w:line="240" w:lineRule="auto"/>
        <w:jc w:val="left"/>
        <w:rPr>
          <w:rFonts w:ascii="Arial" w:hAnsi="宋体"/>
          <w:bCs/>
          <w:color w:val="000000" w:themeColor="text1"/>
          <w:kern w:val="0"/>
        </w:rPr>
      </w:pPr>
      <w:r>
        <w:rPr>
          <w:rFonts w:hAnsi="宋体"/>
          <w:color w:val="000000" w:themeColor="text1"/>
        </w:rPr>
        <w:br w:type="page"/>
      </w:r>
      <w:r>
        <w:rPr>
          <w:rFonts w:ascii="宋体" w:hAnsi="宋体"/>
          <w:color w:val="000000" w:themeColor="text1"/>
        </w:rPr>
        <w:t>附件1：</w:t>
      </w:r>
    </w:p>
    <w:p>
      <w:pPr>
        <w:adjustRightInd w:val="0"/>
        <w:snapToGrid w:val="0"/>
        <w:jc w:val="right"/>
        <w:rPr>
          <w:rFonts w:ascii="宋体" w:hAnsi="宋体"/>
          <w:b/>
          <w:color w:val="000000" w:themeColor="text1"/>
          <w:sz w:val="32"/>
          <w:szCs w:val="32"/>
        </w:rPr>
      </w:pPr>
      <w:bookmarkStart w:id="371" w:name="_Toc427596812"/>
      <w:bookmarkStart w:id="372" w:name="_Toc427745101"/>
      <w:r>
        <w:rPr>
          <w:rFonts w:hint="eastAsia" w:ascii="宋体" w:hAnsi="宋体"/>
          <w:b/>
          <w:color w:val="000000" w:themeColor="text1"/>
          <w:sz w:val="32"/>
          <w:szCs w:val="32"/>
        </w:rPr>
        <w:t>正本/副本</w:t>
      </w:r>
    </w:p>
    <w:bookmarkEnd w:id="371"/>
    <w:bookmarkEnd w:id="372"/>
    <w:p>
      <w:pPr>
        <w:adjustRightInd w:val="0"/>
        <w:snapToGrid w:val="0"/>
        <w:jc w:val="right"/>
        <w:rPr>
          <w:rFonts w:ascii="宋体" w:hAnsi="宋体"/>
          <w:b/>
          <w:bCs/>
          <w:color w:val="000000" w:themeColor="text1"/>
          <w:sz w:val="32"/>
          <w:szCs w:val="32"/>
        </w:rPr>
      </w:pPr>
    </w:p>
    <w:p>
      <w:pPr>
        <w:jc w:val="center"/>
        <w:rPr>
          <w:rFonts w:hAnsi="宋体"/>
          <w:b/>
          <w:color w:val="000000" w:themeColor="text1"/>
          <w:sz w:val="36"/>
          <w:szCs w:val="36"/>
          <w:u w:val="single"/>
        </w:rPr>
      </w:pPr>
      <w:r>
        <w:rPr>
          <w:rFonts w:hint="eastAsia" w:hAnsi="宋体"/>
          <w:b/>
          <w:color w:val="000000" w:themeColor="text1"/>
          <w:sz w:val="36"/>
          <w:szCs w:val="36"/>
        </w:rPr>
        <w:t>（采购项目名称）</w:t>
      </w:r>
      <w:r>
        <w:rPr>
          <w:rFonts w:hint="eastAsia" w:ascii="宋体" w:hAnsi="宋体"/>
          <w:b/>
          <w:color w:val="000000" w:themeColor="text1"/>
          <w:sz w:val="36"/>
          <w:szCs w:val="36"/>
        </w:rPr>
        <w:t>公开招标采购</w:t>
      </w:r>
    </w:p>
    <w:p>
      <w:pPr>
        <w:adjustRightInd w:val="0"/>
        <w:snapToGrid w:val="0"/>
        <w:jc w:val="center"/>
        <w:rPr>
          <w:rFonts w:ascii="宋体" w:hAnsi="宋体"/>
          <w:bCs/>
          <w:color w:val="000000" w:themeColor="text1"/>
          <w:sz w:val="48"/>
          <w:szCs w:val="48"/>
        </w:rPr>
      </w:pPr>
    </w:p>
    <w:p>
      <w:pPr>
        <w:adjustRightInd w:val="0"/>
        <w:snapToGrid w:val="0"/>
        <w:jc w:val="center"/>
        <w:rPr>
          <w:rFonts w:ascii="宋体" w:hAnsi="宋体"/>
          <w:b/>
          <w:bCs/>
          <w:color w:val="000000" w:themeColor="text1"/>
          <w:kern w:val="0"/>
          <w:sz w:val="30"/>
          <w:szCs w:val="30"/>
        </w:rPr>
      </w:pPr>
    </w:p>
    <w:p>
      <w:pPr>
        <w:adjustRightInd w:val="0"/>
        <w:snapToGrid w:val="0"/>
        <w:jc w:val="center"/>
        <w:rPr>
          <w:rFonts w:ascii="宋体" w:hAnsi="宋体"/>
          <w:b/>
          <w:bCs/>
          <w:color w:val="000000" w:themeColor="text1"/>
          <w:kern w:val="0"/>
          <w:sz w:val="30"/>
          <w:szCs w:val="30"/>
        </w:rPr>
      </w:pPr>
    </w:p>
    <w:p>
      <w:pPr>
        <w:adjustRightInd w:val="0"/>
        <w:snapToGrid w:val="0"/>
        <w:jc w:val="center"/>
        <w:rPr>
          <w:rFonts w:ascii="宋体" w:hAnsi="宋体"/>
          <w:b/>
          <w:bCs/>
          <w:color w:val="000000" w:themeColor="text1"/>
          <w:kern w:val="0"/>
          <w:sz w:val="30"/>
          <w:szCs w:val="30"/>
        </w:rPr>
      </w:pPr>
    </w:p>
    <w:p>
      <w:pPr>
        <w:adjustRightInd w:val="0"/>
        <w:snapToGrid w:val="0"/>
        <w:spacing w:line="240" w:lineRule="auto"/>
        <w:jc w:val="center"/>
        <w:rPr>
          <w:rFonts w:ascii="宋体" w:hAnsi="宋体"/>
          <w:b/>
          <w:bCs/>
          <w:color w:val="000000" w:themeColor="text1"/>
          <w:kern w:val="0"/>
          <w:sz w:val="30"/>
          <w:szCs w:val="30"/>
        </w:rPr>
      </w:pPr>
    </w:p>
    <w:p>
      <w:pPr>
        <w:adjustRightInd w:val="0"/>
        <w:snapToGrid w:val="0"/>
        <w:spacing w:line="240" w:lineRule="auto"/>
        <w:jc w:val="center"/>
        <w:rPr>
          <w:b/>
          <w:color w:val="000000" w:themeColor="text1"/>
          <w:kern w:val="0"/>
          <w:sz w:val="28"/>
          <w:szCs w:val="28"/>
        </w:rPr>
      </w:pPr>
    </w:p>
    <w:p>
      <w:pPr>
        <w:adjustRightInd w:val="0"/>
        <w:snapToGrid w:val="0"/>
        <w:spacing w:line="240" w:lineRule="auto"/>
        <w:jc w:val="center"/>
        <w:rPr>
          <w:rFonts w:ascii="宋体" w:hAnsi="宋体"/>
          <w:b/>
          <w:bCs/>
          <w:color w:val="000000" w:themeColor="text1"/>
          <w:kern w:val="0"/>
          <w:sz w:val="52"/>
          <w:szCs w:val="52"/>
        </w:rPr>
      </w:pPr>
      <w:r>
        <w:rPr>
          <w:rFonts w:hint="eastAsia" w:ascii="宋体" w:hAnsi="宋体"/>
          <w:b/>
          <w:bCs/>
          <w:color w:val="000000" w:themeColor="text1"/>
          <w:kern w:val="0"/>
          <w:sz w:val="84"/>
          <w:szCs w:val="84"/>
        </w:rPr>
        <w:t>响应文件</w:t>
      </w:r>
    </w:p>
    <w:p>
      <w:pPr>
        <w:pStyle w:val="32"/>
        <w:adjustRightInd w:val="0"/>
        <w:snapToGrid w:val="0"/>
        <w:spacing w:before="120"/>
        <w:ind w:left="1233" w:hanging="753"/>
        <w:rPr>
          <w:rFonts w:hAnsi="宋体"/>
          <w:b/>
          <w:color w:val="000000" w:themeColor="text1"/>
          <w:sz w:val="30"/>
          <w:szCs w:val="30"/>
        </w:rPr>
      </w:pPr>
    </w:p>
    <w:p>
      <w:pPr>
        <w:pStyle w:val="32"/>
        <w:adjustRightInd w:val="0"/>
        <w:snapToGrid w:val="0"/>
        <w:spacing w:before="120"/>
        <w:ind w:left="1233" w:hanging="753"/>
        <w:rPr>
          <w:rFonts w:hAnsi="宋体"/>
          <w:b/>
          <w:color w:val="000000" w:themeColor="text1"/>
          <w:sz w:val="30"/>
          <w:szCs w:val="30"/>
        </w:rPr>
      </w:pPr>
    </w:p>
    <w:p>
      <w:pPr>
        <w:pStyle w:val="32"/>
        <w:adjustRightInd w:val="0"/>
        <w:snapToGrid w:val="0"/>
        <w:spacing w:before="120"/>
        <w:ind w:left="1233" w:hanging="753"/>
        <w:rPr>
          <w:rFonts w:hAnsi="宋体"/>
          <w:b/>
          <w:color w:val="000000" w:themeColor="text1"/>
          <w:sz w:val="30"/>
          <w:szCs w:val="30"/>
        </w:rPr>
      </w:pPr>
    </w:p>
    <w:p>
      <w:pPr>
        <w:pStyle w:val="32"/>
        <w:adjustRightInd w:val="0"/>
        <w:snapToGrid w:val="0"/>
        <w:spacing w:before="120"/>
        <w:ind w:left="1233" w:hanging="753"/>
        <w:rPr>
          <w:rFonts w:hAnsi="宋体"/>
          <w:b/>
          <w:color w:val="000000" w:themeColor="text1"/>
          <w:sz w:val="30"/>
          <w:szCs w:val="30"/>
        </w:rPr>
      </w:pPr>
    </w:p>
    <w:p>
      <w:pPr>
        <w:pStyle w:val="32"/>
        <w:adjustRightInd w:val="0"/>
        <w:snapToGrid w:val="0"/>
        <w:spacing w:before="120"/>
        <w:ind w:left="806" w:hanging="326"/>
        <w:rPr>
          <w:rFonts w:hAnsi="宋体"/>
          <w:b/>
          <w:color w:val="000000" w:themeColor="text1"/>
          <w:sz w:val="13"/>
          <w:szCs w:val="13"/>
        </w:rPr>
      </w:pPr>
    </w:p>
    <w:p>
      <w:pPr>
        <w:pStyle w:val="32"/>
        <w:adjustRightInd w:val="0"/>
        <w:snapToGrid w:val="0"/>
        <w:spacing w:before="120"/>
        <w:ind w:left="806" w:hanging="326"/>
        <w:rPr>
          <w:rFonts w:hAnsi="宋体"/>
          <w:b/>
          <w:color w:val="000000" w:themeColor="text1"/>
          <w:sz w:val="13"/>
          <w:szCs w:val="13"/>
        </w:rPr>
      </w:pPr>
    </w:p>
    <w:p>
      <w:pPr>
        <w:pStyle w:val="32"/>
        <w:adjustRightInd w:val="0"/>
        <w:snapToGrid w:val="0"/>
        <w:spacing w:before="120"/>
        <w:ind w:left="1233" w:hanging="753"/>
        <w:rPr>
          <w:rFonts w:hAnsi="宋体"/>
          <w:b/>
          <w:color w:val="000000" w:themeColor="text1"/>
          <w:sz w:val="30"/>
          <w:szCs w:val="30"/>
        </w:rPr>
      </w:pP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Pr>
        <w:pStyle w:val="32"/>
        <w:ind w:left="1384" w:hanging="904"/>
        <w:jc w:val="center"/>
        <w:rPr>
          <w:rFonts w:hAnsi="宋体"/>
          <w:b/>
          <w:color w:val="000000" w:themeColor="text1"/>
          <w:sz w:val="36"/>
          <w:szCs w:val="36"/>
        </w:rPr>
      </w:pPr>
      <w:r>
        <w:rPr>
          <w:rFonts w:hAnsi="宋体"/>
          <w:b/>
          <w:color w:val="000000" w:themeColor="text1"/>
          <w:sz w:val="36"/>
          <w:szCs w:val="36"/>
        </w:rPr>
        <w:t>承包商：（盖</w:t>
      </w:r>
      <w:r>
        <w:rPr>
          <w:rFonts w:hint="eastAsia" w:hAnsi="宋体"/>
          <w:b/>
          <w:color w:val="000000" w:themeColor="text1"/>
          <w:sz w:val="36"/>
          <w:szCs w:val="36"/>
        </w:rPr>
        <w:t>单位</w:t>
      </w:r>
      <w:r>
        <w:rPr>
          <w:rFonts w:hAnsi="宋体"/>
          <w:b/>
          <w:color w:val="000000" w:themeColor="text1"/>
          <w:sz w:val="36"/>
          <w:szCs w:val="36"/>
        </w:rPr>
        <w:t>章）</w:t>
      </w:r>
    </w:p>
    <w:p>
      <w:pPr>
        <w:pStyle w:val="32"/>
        <w:ind w:left="1384" w:hanging="904"/>
        <w:jc w:val="center"/>
        <w:rPr>
          <w:rFonts w:hAnsi="宋体"/>
          <w:b/>
          <w:color w:val="000000" w:themeColor="text1"/>
          <w:sz w:val="36"/>
          <w:szCs w:val="36"/>
        </w:rPr>
      </w:pPr>
      <w:r>
        <w:rPr>
          <w:rFonts w:hint="eastAsia" w:hAnsi="宋体"/>
          <w:b/>
          <w:color w:val="000000" w:themeColor="text1"/>
          <w:sz w:val="36"/>
          <w:szCs w:val="36"/>
        </w:rPr>
        <w:t>xxxx</w:t>
      </w:r>
      <w:r>
        <w:rPr>
          <w:rFonts w:hAnsi="宋体"/>
          <w:b/>
          <w:color w:val="000000" w:themeColor="text1"/>
          <w:sz w:val="36"/>
          <w:szCs w:val="36"/>
        </w:rPr>
        <w:t>年</w:t>
      </w:r>
      <w:r>
        <w:rPr>
          <w:rFonts w:hint="eastAsia" w:hAnsi="宋体"/>
          <w:b/>
          <w:color w:val="000000" w:themeColor="text1"/>
          <w:sz w:val="36"/>
          <w:szCs w:val="36"/>
        </w:rPr>
        <w:t>xx</w:t>
      </w:r>
      <w:r>
        <w:rPr>
          <w:rFonts w:hAnsi="宋体"/>
          <w:b/>
          <w:color w:val="000000" w:themeColor="text1"/>
          <w:sz w:val="36"/>
          <w:szCs w:val="36"/>
        </w:rPr>
        <w:t>月</w:t>
      </w:r>
      <w:r>
        <w:rPr>
          <w:rFonts w:hint="eastAsia" w:hAnsi="宋体"/>
          <w:b/>
          <w:color w:val="000000" w:themeColor="text1"/>
          <w:sz w:val="36"/>
          <w:szCs w:val="36"/>
        </w:rPr>
        <w:t>xx</w:t>
      </w:r>
      <w:r>
        <w:rPr>
          <w:rFonts w:hAnsi="宋体"/>
          <w:b/>
          <w:color w:val="000000" w:themeColor="text1"/>
          <w:sz w:val="36"/>
          <w:szCs w:val="36"/>
        </w:rPr>
        <w:t>日</w:t>
      </w:r>
    </w:p>
    <w:p>
      <w:pPr>
        <w:rPr>
          <w:rFonts w:asciiTheme="minorEastAsia" w:hAnsiTheme="minorEastAsia" w:eastAsiaTheme="minorEastAsia"/>
          <w:color w:val="000000" w:themeColor="text1"/>
        </w:rPr>
      </w:pPr>
      <w:r>
        <w:rPr>
          <w:rFonts w:hAnsi="宋体"/>
          <w:b/>
          <w:color w:val="000000" w:themeColor="text1"/>
        </w:rPr>
        <w:br w:type="page"/>
      </w:r>
      <w:bookmarkStart w:id="373" w:name="_Toc426533994"/>
      <w:bookmarkStart w:id="374" w:name="_Toc65656170"/>
      <w:bookmarkStart w:id="375" w:name="_Toc67831745"/>
      <w:bookmarkStart w:id="376" w:name="_Toc65908723"/>
      <w:bookmarkStart w:id="377" w:name="_Toc67968953"/>
      <w:bookmarkStart w:id="378" w:name="_Toc67831049"/>
      <w:r>
        <w:rPr>
          <w:rFonts w:hint="eastAsia" w:asciiTheme="minorEastAsia" w:hAnsiTheme="minorEastAsia" w:eastAsiaTheme="minorEastAsia"/>
          <w:color w:val="000000" w:themeColor="text1"/>
        </w:rPr>
        <w:t>附件2：</w:t>
      </w:r>
      <w:bookmarkEnd w:id="373"/>
    </w:p>
    <w:p>
      <w:pPr>
        <w:snapToGrid w:val="0"/>
        <w:spacing w:afterLines="150"/>
        <w:jc w:val="center"/>
        <w:rPr>
          <w:rFonts w:hAnsi="宋体"/>
          <w:b/>
          <w:bCs/>
          <w:color w:val="000000" w:themeColor="text1"/>
          <w:sz w:val="32"/>
          <w:szCs w:val="32"/>
        </w:rPr>
      </w:pPr>
      <w:r>
        <w:rPr>
          <w:rFonts w:hint="eastAsia" w:hAnsi="宋体"/>
          <w:b/>
          <w:bCs/>
          <w:color w:val="000000" w:themeColor="text1"/>
          <w:sz w:val="32"/>
          <w:szCs w:val="32"/>
        </w:rPr>
        <w:t>响应函</w:t>
      </w:r>
    </w:p>
    <w:p>
      <w:pPr>
        <w:snapToGrid w:val="0"/>
        <w:jc w:val="left"/>
        <w:rPr>
          <w:rFonts w:hAnsi="宋体"/>
          <w:bCs/>
          <w:color w:val="000000" w:themeColor="text1"/>
        </w:rPr>
      </w:pPr>
      <w:r>
        <w:rPr>
          <w:rFonts w:hint="eastAsia" w:hAnsi="宋体"/>
          <w:color w:val="000000" w:themeColor="text1"/>
        </w:rPr>
        <w:t>致：（采购人名称）</w:t>
      </w:r>
    </w:p>
    <w:p>
      <w:pPr>
        <w:ind w:firstLine="480" w:firstLineChars="200"/>
        <w:rPr>
          <w:rFonts w:ascii="宋体" w:hAnsi="宋体"/>
          <w:color w:val="000000" w:themeColor="text1"/>
          <w:kern w:val="0"/>
        </w:rPr>
      </w:pPr>
      <w:r>
        <w:rPr>
          <w:rFonts w:hint="eastAsia" w:ascii="宋体" w:hAnsi="宋体"/>
          <w:color w:val="000000" w:themeColor="text1"/>
          <w:kern w:val="0"/>
        </w:rPr>
        <w:t>1．在考察现场并充分研究了</w:t>
      </w:r>
      <w:r>
        <w:rPr>
          <w:rFonts w:hint="eastAsia" w:ascii="宋体" w:hAnsi="Courier New"/>
          <w:color w:val="000000" w:themeColor="text1"/>
          <w:kern w:val="0"/>
        </w:rPr>
        <w:t>（采购项目名称）公开招标采购</w:t>
      </w:r>
      <w:r>
        <w:rPr>
          <w:rFonts w:hint="eastAsia" w:ascii="宋体" w:hAnsi="宋体"/>
          <w:color w:val="000000" w:themeColor="text1"/>
          <w:kern w:val="0"/>
        </w:rPr>
        <w:t>文件的全部内容后，我方将按照采购文件的要求完成及相关技术服务工作。</w:t>
      </w:r>
    </w:p>
    <w:p>
      <w:pPr>
        <w:snapToGrid w:val="0"/>
        <w:ind w:left="1080" w:hanging="600"/>
        <w:rPr>
          <w:rFonts w:ascii="宋体" w:hAnsi="宋体"/>
          <w:color w:val="000000" w:themeColor="text1"/>
          <w:kern w:val="0"/>
        </w:rPr>
      </w:pPr>
      <w:r>
        <w:rPr>
          <w:rFonts w:hint="eastAsia" w:ascii="宋体" w:hAnsi="宋体"/>
          <w:color w:val="000000" w:themeColor="text1"/>
          <w:kern w:val="0"/>
        </w:rPr>
        <w:t>2. 我方的报价为：综合优惠率（不含材料）：    %</w:t>
      </w:r>
    </w:p>
    <w:p>
      <w:pPr>
        <w:snapToGrid w:val="0"/>
        <w:ind w:left="1080" w:hanging="600"/>
        <w:rPr>
          <w:rFonts w:ascii="宋体" w:hAnsi="宋体"/>
          <w:color w:val="000000" w:themeColor="text1"/>
          <w:kern w:val="0"/>
        </w:rPr>
      </w:pPr>
    </w:p>
    <w:p>
      <w:pPr>
        <w:pStyle w:val="32"/>
        <w:snapToGrid w:val="0"/>
        <w:ind w:firstLine="480" w:firstLineChars="200"/>
        <w:rPr>
          <w:rFonts w:hAnsi="宋体"/>
          <w:strike/>
          <w:color w:val="000000" w:themeColor="text1"/>
          <w:sz w:val="24"/>
        </w:rPr>
      </w:pPr>
      <w:r>
        <w:rPr>
          <w:rFonts w:hint="eastAsia" w:hAnsi="宋体"/>
          <w:color w:val="000000" w:themeColor="text1"/>
          <w:sz w:val="24"/>
        </w:rPr>
        <w:t>3．我方响应采购文件确定的承包范围、质量及工期目标/工作质量及工作服务期要求。。</w:t>
      </w:r>
    </w:p>
    <w:p>
      <w:pPr>
        <w:pStyle w:val="32"/>
        <w:snapToGrid w:val="0"/>
        <w:ind w:firstLine="480" w:firstLineChars="200"/>
        <w:rPr>
          <w:rFonts w:hAnsi="宋体"/>
          <w:strike/>
          <w:color w:val="000000" w:themeColor="text1"/>
        </w:rPr>
      </w:pPr>
      <w:r>
        <w:rPr>
          <w:rFonts w:hint="eastAsia" w:hAnsi="宋体"/>
          <w:color w:val="000000" w:themeColor="text1"/>
          <w:sz w:val="24"/>
        </w:rPr>
        <w:t>4.</w:t>
      </w:r>
      <w:r>
        <w:rPr>
          <w:rFonts w:hint="eastAsia"/>
          <w:color w:val="000000" w:themeColor="text1"/>
        </w:rPr>
        <w:t xml:space="preserve"> </w:t>
      </w:r>
      <w:r>
        <w:rPr>
          <w:rFonts w:hint="eastAsia" w:hAnsi="宋体"/>
          <w:color w:val="000000" w:themeColor="text1"/>
          <w:sz w:val="24"/>
        </w:rPr>
        <w:t>我方拟派的项目经理xxx为xx专业国家注册xx工程师，注册证书编号xxxx，且注册于我单位/我方拟派的项目经理xxx持有xxxx证书，证书编号xxxx。</w:t>
      </w:r>
    </w:p>
    <w:p>
      <w:pPr>
        <w:snapToGrid w:val="0"/>
        <w:ind w:left="1080" w:hanging="600"/>
        <w:rPr>
          <w:rFonts w:ascii="宋体" w:hAnsi="宋体"/>
          <w:bCs/>
          <w:color w:val="000000" w:themeColor="text1"/>
          <w:kern w:val="0"/>
        </w:rPr>
      </w:pPr>
      <w:r>
        <w:rPr>
          <w:rFonts w:hint="eastAsia" w:ascii="宋体" w:hAnsi="宋体"/>
          <w:bCs/>
          <w:color w:val="000000" w:themeColor="text1"/>
          <w:kern w:val="0"/>
        </w:rPr>
        <w:t>5．我方承诺：</w:t>
      </w:r>
    </w:p>
    <w:p>
      <w:pPr>
        <w:snapToGrid w:val="0"/>
        <w:ind w:firstLine="480" w:firstLineChars="200"/>
        <w:rPr>
          <w:rFonts w:ascii="宋体" w:hAnsi="宋体"/>
          <w:color w:val="000000" w:themeColor="text1"/>
          <w:kern w:val="0"/>
        </w:rPr>
      </w:pPr>
      <w:r>
        <w:rPr>
          <w:rFonts w:hint="eastAsia" w:ascii="宋体" w:hAnsi="宋体"/>
          <w:color w:val="000000" w:themeColor="text1"/>
          <w:kern w:val="0"/>
        </w:rPr>
        <w:t>（1）在成交通知书规定的期限内与你方签订合同；</w:t>
      </w:r>
    </w:p>
    <w:p>
      <w:pPr>
        <w:snapToGrid w:val="0"/>
        <w:ind w:firstLine="480" w:firstLineChars="200"/>
        <w:rPr>
          <w:rFonts w:ascii="宋体" w:hAnsi="宋体"/>
          <w:color w:val="000000" w:themeColor="text1"/>
          <w:kern w:val="0"/>
        </w:rPr>
      </w:pPr>
      <w:bookmarkStart w:id="379" w:name="_Toc511143084"/>
      <w:bookmarkStart w:id="380" w:name="_Toc514167153"/>
      <w:r>
        <w:rPr>
          <w:rFonts w:hint="eastAsia" w:ascii="宋体" w:hAnsi="宋体"/>
          <w:color w:val="000000" w:themeColor="text1"/>
          <w:kern w:val="0"/>
        </w:rPr>
        <w:t>（2）不论成交与否，10年内对采购期间往来资料承担保密责任；</w:t>
      </w:r>
      <w:bookmarkEnd w:id="379"/>
      <w:bookmarkEnd w:id="380"/>
    </w:p>
    <w:p>
      <w:pPr>
        <w:snapToGrid w:val="0"/>
        <w:ind w:firstLine="480" w:firstLineChars="200"/>
        <w:rPr>
          <w:rFonts w:ascii="宋体" w:hAnsi="宋体"/>
          <w:color w:val="000000" w:themeColor="text1"/>
          <w:kern w:val="0"/>
        </w:rPr>
      </w:pPr>
      <w:r>
        <w:rPr>
          <w:rFonts w:ascii="宋体" w:hAnsi="宋体"/>
          <w:color w:val="000000" w:themeColor="text1"/>
          <w:kern w:val="0"/>
        </w:rPr>
        <w:t>……</w:t>
      </w:r>
    </w:p>
    <w:p>
      <w:pPr>
        <w:snapToGrid w:val="0"/>
        <w:ind w:left="480"/>
        <w:rPr>
          <w:rFonts w:ascii="宋体" w:hAnsi="宋体"/>
          <w:color w:val="000000" w:themeColor="text1"/>
          <w:kern w:val="0"/>
        </w:rPr>
      </w:pPr>
      <w:r>
        <w:rPr>
          <w:rFonts w:hint="eastAsia" w:ascii="宋体" w:hAnsi="宋体"/>
          <w:color w:val="000000" w:themeColor="text1"/>
          <w:kern w:val="0"/>
        </w:rPr>
        <w:t>7．我方在此声明，所递交的响应文件及有关资料内容完整、真实和准确。</w:t>
      </w:r>
    </w:p>
    <w:p>
      <w:pPr>
        <w:snapToGrid w:val="0"/>
        <w:ind w:firstLine="480" w:firstLineChars="200"/>
        <w:rPr>
          <w:rFonts w:hAnsi="宋体"/>
          <w:color w:val="000000" w:themeColor="text1"/>
        </w:rPr>
      </w:pPr>
    </w:p>
    <w:p>
      <w:pPr>
        <w:snapToGrid w:val="0"/>
        <w:ind w:firstLine="480" w:firstLineChars="200"/>
        <w:rPr>
          <w:rFonts w:hAnsi="宋体"/>
          <w:color w:val="000000" w:themeColor="text1"/>
        </w:rPr>
      </w:pPr>
    </w:p>
    <w:p>
      <w:pPr>
        <w:snapToGrid w:val="0"/>
        <w:spacing w:line="480" w:lineRule="auto"/>
        <w:jc w:val="right"/>
        <w:rPr>
          <w:rFonts w:hAnsi="宋体"/>
          <w:color w:val="000000" w:themeColor="text1"/>
        </w:rPr>
      </w:pPr>
      <w:r>
        <w:rPr>
          <w:rFonts w:hAnsi="宋体"/>
          <w:color w:val="000000" w:themeColor="text1"/>
        </w:rPr>
        <w:t>承包商：（盖</w:t>
      </w:r>
      <w:r>
        <w:rPr>
          <w:rFonts w:hint="eastAsia" w:hAnsi="宋体"/>
          <w:color w:val="000000" w:themeColor="text1"/>
        </w:rPr>
        <w:t>单位</w:t>
      </w:r>
      <w:r>
        <w:rPr>
          <w:rFonts w:hAnsi="宋体"/>
          <w:color w:val="000000" w:themeColor="text1"/>
        </w:rPr>
        <w:t>章）</w:t>
      </w:r>
    </w:p>
    <w:p>
      <w:pPr>
        <w:snapToGrid w:val="0"/>
        <w:spacing w:line="480" w:lineRule="auto"/>
        <w:jc w:val="right"/>
        <w:rPr>
          <w:rFonts w:hAnsi="宋体"/>
          <w:color w:val="000000" w:themeColor="text1"/>
        </w:rPr>
      </w:pPr>
      <w:r>
        <w:rPr>
          <w:rFonts w:hint="eastAsia" w:hAnsi="宋体"/>
          <w:color w:val="000000" w:themeColor="text1"/>
        </w:rPr>
        <w:t>xxxx年xx月xx日</w:t>
      </w:r>
    </w:p>
    <w:p>
      <w:pPr>
        <w:widowControl/>
        <w:jc w:val="left"/>
        <w:rPr>
          <w:rFonts w:hAnsi="宋体"/>
          <w:b/>
          <w:bCs/>
          <w:color w:val="000000" w:themeColor="text1"/>
          <w:sz w:val="32"/>
          <w:szCs w:val="32"/>
        </w:rPr>
      </w:pPr>
      <w:r>
        <w:rPr>
          <w:rFonts w:hAnsi="宋体"/>
          <w:b/>
          <w:bCs/>
          <w:color w:val="000000" w:themeColor="text1"/>
          <w:sz w:val="32"/>
          <w:szCs w:val="32"/>
        </w:rPr>
        <w:br w:type="page"/>
      </w:r>
    </w:p>
    <w:bookmarkEnd w:id="10"/>
    <w:bookmarkEnd w:id="362"/>
    <w:bookmarkEnd w:id="363"/>
    <w:bookmarkEnd w:id="364"/>
    <w:bookmarkEnd w:id="365"/>
    <w:bookmarkEnd w:id="366"/>
    <w:bookmarkEnd w:id="367"/>
    <w:bookmarkEnd w:id="368"/>
    <w:bookmarkEnd w:id="374"/>
    <w:bookmarkEnd w:id="375"/>
    <w:bookmarkEnd w:id="376"/>
    <w:bookmarkEnd w:id="377"/>
    <w:bookmarkEnd w:id="378"/>
    <w:p>
      <w:pPr>
        <w:snapToGrid w:val="0"/>
        <w:rPr>
          <w:rFonts w:ascii="宋体" w:hAnsi="宋体"/>
          <w:color w:val="000000" w:themeColor="text1"/>
        </w:rPr>
      </w:pPr>
      <w:r>
        <w:rPr>
          <w:rFonts w:hint="eastAsia" w:ascii="宋体" w:hAnsi="宋体"/>
          <w:color w:val="000000" w:themeColor="text1"/>
        </w:rPr>
        <w:t>附件x-1：</w:t>
      </w:r>
    </w:p>
    <w:p>
      <w:pPr>
        <w:snapToGrid w:val="0"/>
        <w:jc w:val="center"/>
        <w:rPr>
          <w:rFonts w:ascii="宋体" w:hAnsi="宋体"/>
          <w:b/>
          <w:bCs/>
          <w:color w:val="000000" w:themeColor="text1"/>
          <w:sz w:val="30"/>
          <w:szCs w:val="30"/>
        </w:rPr>
      </w:pPr>
      <w:r>
        <w:rPr>
          <w:rFonts w:hint="eastAsia" w:ascii="宋体" w:hAnsi="宋体"/>
          <w:b/>
          <w:bCs/>
          <w:color w:val="000000" w:themeColor="text1"/>
          <w:sz w:val="30"/>
          <w:szCs w:val="30"/>
        </w:rPr>
        <w:t>承包商法定代表人身份证明书</w:t>
      </w:r>
    </w:p>
    <w:p>
      <w:pPr>
        <w:topLinePunct/>
        <w:snapToGrid w:val="0"/>
        <w:rPr>
          <w:rFonts w:ascii="宋体" w:hAnsi="宋体"/>
          <w:color w:val="000000" w:themeColor="text1"/>
        </w:rPr>
      </w:pPr>
    </w:p>
    <w:p>
      <w:pPr>
        <w:topLinePunct/>
        <w:snapToGrid w:val="0"/>
        <w:ind w:firstLine="960" w:firstLineChars="400"/>
        <w:rPr>
          <w:rFonts w:ascii="宋体" w:hAnsi="宋体"/>
          <w:color w:val="000000" w:themeColor="text1"/>
        </w:rPr>
      </w:pPr>
      <w:r>
        <w:rPr>
          <w:rFonts w:hint="eastAsia" w:ascii="宋体" w:hAnsi="宋体"/>
          <w:color w:val="000000" w:themeColor="text1"/>
        </w:rPr>
        <w:t>单位名称：</w:t>
      </w:r>
      <w:r>
        <w:rPr>
          <w:rFonts w:ascii="宋体" w:hAnsi="宋体"/>
          <w:color w:val="000000" w:themeColor="text1"/>
          <w:u w:val="single"/>
        </w:rPr>
        <w:t xml:space="preserve">                              </w:t>
      </w:r>
    </w:p>
    <w:p>
      <w:pPr>
        <w:topLinePunct/>
        <w:snapToGrid w:val="0"/>
        <w:ind w:firstLine="612"/>
        <w:rPr>
          <w:rFonts w:ascii="宋体" w:hAnsi="宋体"/>
          <w:color w:val="000000" w:themeColor="text1"/>
        </w:rPr>
      </w:pPr>
    </w:p>
    <w:p>
      <w:pPr>
        <w:topLinePunct/>
        <w:snapToGrid w:val="0"/>
        <w:ind w:firstLine="960" w:firstLineChars="400"/>
        <w:rPr>
          <w:rFonts w:ascii="宋体" w:hAnsi="宋体"/>
          <w:color w:val="000000" w:themeColor="text1"/>
          <w:u w:val="single"/>
        </w:rPr>
      </w:pPr>
      <w:r>
        <w:rPr>
          <w:rFonts w:hint="eastAsia" w:ascii="宋体" w:hAnsi="宋体"/>
          <w:color w:val="000000" w:themeColor="text1"/>
        </w:rPr>
        <w:t>单位性质：</w:t>
      </w:r>
      <w:r>
        <w:rPr>
          <w:rFonts w:ascii="宋体" w:hAnsi="宋体"/>
          <w:color w:val="000000" w:themeColor="text1"/>
          <w:u w:val="single"/>
        </w:rPr>
        <w:t xml:space="preserve">                              </w:t>
      </w:r>
    </w:p>
    <w:p>
      <w:pPr>
        <w:topLinePunct/>
        <w:snapToGrid w:val="0"/>
        <w:ind w:firstLine="610"/>
        <w:rPr>
          <w:rFonts w:ascii="宋体" w:hAnsi="宋体"/>
          <w:color w:val="000000" w:themeColor="text1"/>
        </w:rPr>
      </w:pPr>
    </w:p>
    <w:p>
      <w:pPr>
        <w:topLinePunct/>
        <w:snapToGrid w:val="0"/>
        <w:ind w:firstLine="960" w:firstLineChars="400"/>
        <w:rPr>
          <w:rFonts w:ascii="宋体" w:hAnsi="宋体"/>
          <w:color w:val="000000" w:themeColor="text1"/>
          <w:u w:val="single"/>
        </w:rPr>
      </w:pPr>
      <w:r>
        <w:rPr>
          <w:rFonts w:hint="eastAsia" w:ascii="宋体" w:hAnsi="宋体"/>
          <w:color w:val="000000" w:themeColor="text1"/>
        </w:rPr>
        <w:t>地</w:t>
      </w:r>
      <w:r>
        <w:rPr>
          <w:rFonts w:ascii="宋体" w:hAnsi="宋体"/>
          <w:color w:val="000000" w:themeColor="text1"/>
        </w:rPr>
        <w:t xml:space="preserve">    </w:t>
      </w:r>
      <w:r>
        <w:rPr>
          <w:rFonts w:hint="eastAsia" w:ascii="宋体" w:hAnsi="宋体"/>
          <w:color w:val="000000" w:themeColor="text1"/>
        </w:rPr>
        <w:t>址：</w:t>
      </w:r>
      <w:r>
        <w:rPr>
          <w:rFonts w:ascii="宋体" w:hAnsi="宋体"/>
          <w:color w:val="000000" w:themeColor="text1"/>
          <w:u w:val="single"/>
        </w:rPr>
        <w:t xml:space="preserve">                              </w:t>
      </w:r>
    </w:p>
    <w:p>
      <w:pPr>
        <w:topLinePunct/>
        <w:snapToGrid w:val="0"/>
        <w:ind w:firstLine="610"/>
        <w:rPr>
          <w:rFonts w:ascii="宋体" w:hAnsi="宋体"/>
          <w:color w:val="000000" w:themeColor="text1"/>
        </w:rPr>
      </w:pPr>
    </w:p>
    <w:p>
      <w:pPr>
        <w:topLinePunct/>
        <w:snapToGrid w:val="0"/>
        <w:ind w:firstLine="960" w:firstLineChars="400"/>
        <w:rPr>
          <w:rFonts w:ascii="宋体" w:hAnsi="宋体"/>
          <w:color w:val="000000" w:themeColor="text1"/>
        </w:rPr>
      </w:pPr>
      <w:r>
        <w:rPr>
          <w:rFonts w:hint="eastAsia" w:ascii="宋体" w:hAnsi="宋体"/>
          <w:color w:val="000000" w:themeColor="text1"/>
        </w:rPr>
        <w:t>成立时间：</w:t>
      </w:r>
      <w:r>
        <w:rPr>
          <w:rFonts w:ascii="宋体" w:hAnsi="宋体"/>
          <w:color w:val="000000" w:themeColor="text1"/>
          <w:u w:val="single"/>
        </w:rPr>
        <w:t xml:space="preserve">          </w:t>
      </w:r>
      <w:r>
        <w:rPr>
          <w:rFonts w:hint="eastAsia" w:ascii="宋体" w:hAnsi="宋体"/>
          <w:color w:val="000000" w:themeColor="text1"/>
        </w:rPr>
        <w:t>年</w:t>
      </w:r>
      <w:r>
        <w:rPr>
          <w:rFonts w:ascii="宋体" w:hAnsi="宋体"/>
          <w:color w:val="000000" w:themeColor="text1"/>
          <w:u w:val="single"/>
        </w:rPr>
        <w:t xml:space="preserve">       </w:t>
      </w:r>
      <w:r>
        <w:rPr>
          <w:rFonts w:hint="eastAsia" w:ascii="宋体" w:hAnsi="宋体"/>
          <w:color w:val="000000" w:themeColor="text1"/>
        </w:rPr>
        <w:t>月</w:t>
      </w:r>
      <w:r>
        <w:rPr>
          <w:rFonts w:ascii="宋体" w:hAnsi="宋体"/>
          <w:color w:val="000000" w:themeColor="text1"/>
          <w:u w:val="single"/>
        </w:rPr>
        <w:t xml:space="preserve">       </w:t>
      </w:r>
      <w:r>
        <w:rPr>
          <w:rFonts w:hint="eastAsia" w:ascii="宋体" w:hAnsi="宋体"/>
          <w:color w:val="000000" w:themeColor="text1"/>
        </w:rPr>
        <w:t>日</w:t>
      </w:r>
    </w:p>
    <w:p>
      <w:pPr>
        <w:topLinePunct/>
        <w:snapToGrid w:val="0"/>
        <w:ind w:firstLine="610"/>
        <w:rPr>
          <w:rFonts w:ascii="宋体" w:hAnsi="宋体"/>
          <w:color w:val="000000" w:themeColor="text1"/>
        </w:rPr>
      </w:pPr>
    </w:p>
    <w:p>
      <w:pPr>
        <w:topLinePunct/>
        <w:snapToGrid w:val="0"/>
        <w:ind w:firstLine="969" w:firstLineChars="404"/>
        <w:rPr>
          <w:rFonts w:ascii="宋体" w:hAnsi="宋体"/>
          <w:color w:val="000000" w:themeColor="text1"/>
          <w:u w:val="single"/>
        </w:rPr>
      </w:pPr>
      <w:r>
        <w:rPr>
          <w:rFonts w:hint="eastAsia" w:ascii="宋体" w:hAnsi="宋体"/>
          <w:color w:val="000000" w:themeColor="text1"/>
        </w:rPr>
        <w:t>经营期限：</w:t>
      </w:r>
      <w:r>
        <w:rPr>
          <w:rFonts w:ascii="宋体" w:hAnsi="宋体"/>
          <w:color w:val="000000" w:themeColor="text1"/>
          <w:u w:val="single"/>
        </w:rPr>
        <w:tab/>
      </w:r>
      <w:r>
        <w:rPr>
          <w:rFonts w:ascii="宋体" w:hAnsi="宋体"/>
          <w:color w:val="000000" w:themeColor="text1"/>
          <w:u w:val="single"/>
        </w:rPr>
        <w:t xml:space="preserve">                                </w:t>
      </w:r>
    </w:p>
    <w:p>
      <w:pPr>
        <w:topLinePunct/>
        <w:snapToGrid w:val="0"/>
        <w:ind w:firstLine="610"/>
        <w:rPr>
          <w:rFonts w:ascii="宋体" w:hAnsi="宋体"/>
          <w:color w:val="000000" w:themeColor="text1"/>
        </w:rPr>
      </w:pPr>
    </w:p>
    <w:p>
      <w:pPr>
        <w:topLinePunct/>
        <w:snapToGrid w:val="0"/>
        <w:ind w:firstLine="969" w:firstLineChars="404"/>
        <w:rPr>
          <w:rFonts w:ascii="宋体" w:hAnsi="宋体"/>
          <w:color w:val="000000" w:themeColor="text1"/>
        </w:rPr>
      </w:pPr>
      <w:r>
        <w:rPr>
          <w:rFonts w:hint="eastAsia" w:ascii="宋体" w:hAnsi="宋体"/>
          <w:color w:val="000000" w:themeColor="text1"/>
        </w:rPr>
        <w:t>姓名：</w:t>
      </w:r>
      <w:r>
        <w:rPr>
          <w:rFonts w:ascii="宋体" w:hAnsi="宋体"/>
          <w:color w:val="000000" w:themeColor="text1"/>
          <w:u w:val="single"/>
        </w:rPr>
        <w:t xml:space="preserve">          </w:t>
      </w:r>
      <w:r>
        <w:rPr>
          <w:rFonts w:ascii="宋体" w:hAnsi="宋体"/>
          <w:color w:val="000000" w:themeColor="text1"/>
        </w:rPr>
        <w:t xml:space="preserve"> 身份证号：</w:t>
      </w:r>
      <w:r>
        <w:rPr>
          <w:rFonts w:ascii="宋体" w:hAnsi="宋体"/>
          <w:color w:val="000000" w:themeColor="text1"/>
          <w:u w:val="single"/>
        </w:rPr>
        <w:t xml:space="preserve">              </w:t>
      </w:r>
      <w:r>
        <w:rPr>
          <w:rFonts w:hint="eastAsia" w:ascii="宋体" w:hAnsi="宋体"/>
          <w:color w:val="000000" w:themeColor="text1"/>
        </w:rPr>
        <w:t>系</w:t>
      </w:r>
      <w:r>
        <w:rPr>
          <w:rFonts w:ascii="宋体" w:hAnsi="宋体"/>
          <w:color w:val="000000" w:themeColor="text1"/>
          <w:u w:val="single"/>
        </w:rPr>
        <w:t xml:space="preserve">             </w:t>
      </w:r>
      <w:r>
        <w:rPr>
          <w:rFonts w:hint="eastAsia" w:ascii="宋体" w:hAnsi="宋体"/>
          <w:color w:val="000000" w:themeColor="text1"/>
        </w:rPr>
        <w:t>的法定代表人。</w:t>
      </w:r>
    </w:p>
    <w:p>
      <w:pPr>
        <w:topLinePunct/>
        <w:snapToGrid w:val="0"/>
        <w:ind w:firstLine="610"/>
        <w:rPr>
          <w:rFonts w:ascii="宋体" w:hAnsi="宋体"/>
          <w:color w:val="000000" w:themeColor="text1"/>
        </w:rPr>
      </w:pPr>
    </w:p>
    <w:p>
      <w:pPr>
        <w:topLinePunct/>
        <w:snapToGrid w:val="0"/>
        <w:ind w:firstLine="610"/>
        <w:rPr>
          <w:rFonts w:ascii="宋体" w:hAnsi="宋体"/>
          <w:color w:val="000000" w:themeColor="text1"/>
        </w:rPr>
      </w:pPr>
      <w:r>
        <w:rPr>
          <w:rFonts w:hint="eastAsia" w:ascii="宋体" w:hAnsi="宋体"/>
          <w:color w:val="000000" w:themeColor="text1"/>
        </w:rPr>
        <w:t>特此证明。</w:t>
      </w:r>
    </w:p>
    <w:p>
      <w:pPr>
        <w:topLinePunct/>
        <w:snapToGrid w:val="0"/>
        <w:rPr>
          <w:rFonts w:ascii="宋体" w:hAnsi="宋体"/>
          <w:color w:val="000000" w:themeColor="text1"/>
        </w:rPr>
      </w:pPr>
    </w:p>
    <w:p>
      <w:pPr>
        <w:topLinePunct/>
        <w:snapToGrid w:val="0"/>
        <w:ind w:firstLine="610"/>
        <w:rPr>
          <w:rFonts w:ascii="宋体" w:hAnsi="宋体"/>
          <w:color w:val="000000" w:themeColor="text1"/>
        </w:rPr>
      </w:pPr>
    </w:p>
    <w:p>
      <w:pPr>
        <w:topLinePunct/>
        <w:snapToGrid w:val="0"/>
        <w:ind w:firstLine="610"/>
        <w:rPr>
          <w:rFonts w:ascii="宋体" w:hAnsi="宋体"/>
          <w:color w:val="000000" w:themeColor="text1"/>
        </w:rPr>
      </w:pPr>
    </w:p>
    <w:p>
      <w:pPr>
        <w:snapToGrid w:val="0"/>
        <w:spacing w:line="480" w:lineRule="auto"/>
        <w:jc w:val="right"/>
        <w:rPr>
          <w:rFonts w:ascii="宋体" w:hAnsi="宋体"/>
          <w:color w:val="000000" w:themeColor="text1"/>
        </w:rPr>
      </w:pPr>
      <w:r>
        <w:rPr>
          <w:rFonts w:ascii="宋体" w:hAnsi="宋体"/>
          <w:color w:val="000000" w:themeColor="text1"/>
        </w:rPr>
        <w:t xml:space="preserve">    </w:t>
      </w:r>
      <w:r>
        <w:rPr>
          <w:rFonts w:hint="eastAsia" w:ascii="宋体" w:hAnsi="宋体"/>
          <w:color w:val="000000" w:themeColor="text1"/>
        </w:rPr>
        <w:t>承包商：</w:t>
      </w:r>
      <w:r>
        <w:rPr>
          <w:rFonts w:ascii="宋体" w:hAnsi="宋体"/>
          <w:color w:val="000000" w:themeColor="text1"/>
        </w:rPr>
        <w:t>（盖</w:t>
      </w:r>
      <w:r>
        <w:rPr>
          <w:rFonts w:hint="eastAsia" w:ascii="宋体" w:hAnsi="宋体"/>
          <w:color w:val="000000" w:themeColor="text1"/>
        </w:rPr>
        <w:t>单位</w:t>
      </w:r>
      <w:r>
        <w:rPr>
          <w:rFonts w:ascii="宋体" w:hAnsi="宋体"/>
          <w:color w:val="000000" w:themeColor="text1"/>
        </w:rPr>
        <w:t>章）</w:t>
      </w:r>
    </w:p>
    <w:p>
      <w:pPr>
        <w:snapToGrid w:val="0"/>
        <w:spacing w:line="480" w:lineRule="auto"/>
        <w:ind w:firstLine="480" w:firstLineChars="200"/>
        <w:jc w:val="right"/>
        <w:rPr>
          <w:rFonts w:ascii="宋体" w:hAnsi="宋体"/>
          <w:color w:val="000000" w:themeColor="text1"/>
          <w:kern w:val="0"/>
        </w:rPr>
      </w:pPr>
      <w:r>
        <w:rPr>
          <w:rFonts w:ascii="宋体" w:hAnsi="宋体"/>
          <w:color w:val="000000" w:themeColor="text1"/>
          <w:kern w:val="0"/>
          <w:szCs w:val="21"/>
        </w:rPr>
        <w:t xml:space="preserve">   </w:t>
      </w:r>
      <w:r>
        <w:rPr>
          <w:rFonts w:hint="eastAsia" w:ascii="宋体" w:hAnsi="宋体"/>
          <w:color w:val="000000" w:themeColor="text1"/>
          <w:kern w:val="0"/>
          <w:szCs w:val="21"/>
        </w:rPr>
        <w:t>xxxx</w:t>
      </w:r>
      <w:r>
        <w:rPr>
          <w:rFonts w:ascii="宋体" w:hAnsi="宋体"/>
          <w:color w:val="000000" w:themeColor="text1"/>
          <w:kern w:val="0"/>
        </w:rPr>
        <w:t>年</w:t>
      </w:r>
      <w:r>
        <w:rPr>
          <w:rFonts w:hint="eastAsia" w:ascii="宋体" w:hAnsi="宋体"/>
          <w:color w:val="000000" w:themeColor="text1"/>
          <w:kern w:val="0"/>
        </w:rPr>
        <w:t>xx</w:t>
      </w:r>
      <w:r>
        <w:rPr>
          <w:rFonts w:ascii="宋体" w:hAnsi="宋体"/>
          <w:color w:val="000000" w:themeColor="text1"/>
          <w:kern w:val="0"/>
        </w:rPr>
        <w:t>月</w:t>
      </w:r>
      <w:r>
        <w:rPr>
          <w:rFonts w:hint="eastAsia" w:ascii="宋体" w:hAnsi="宋体"/>
          <w:color w:val="000000" w:themeColor="text1"/>
          <w:kern w:val="0"/>
        </w:rPr>
        <w:t>xx</w:t>
      </w:r>
      <w:r>
        <w:rPr>
          <w:rFonts w:ascii="宋体" w:hAnsi="宋体"/>
          <w:color w:val="000000" w:themeColor="text1"/>
          <w:kern w:val="0"/>
        </w:rPr>
        <w:t>日</w:t>
      </w:r>
    </w:p>
    <w:p>
      <w:pPr>
        <w:snapToGrid w:val="0"/>
        <w:jc w:val="right"/>
        <w:rPr>
          <w:rFonts w:ascii="宋体" w:hAnsi="宋体"/>
          <w:color w:val="000000" w:themeColor="text1"/>
        </w:rPr>
      </w:pPr>
    </w:p>
    <w:p>
      <w:pPr>
        <w:tabs>
          <w:tab w:val="left" w:pos="720"/>
          <w:tab w:val="left" w:pos="900"/>
        </w:tabs>
        <w:topLinePunct/>
        <w:snapToGrid w:val="0"/>
        <w:ind w:firstLine="480" w:firstLineChars="200"/>
        <w:rPr>
          <w:rFonts w:ascii="宋体" w:hAnsi="宋体"/>
          <w:color w:val="000000" w:themeColor="text1"/>
        </w:rPr>
      </w:pPr>
      <w:r>
        <w:rPr>
          <w:rFonts w:ascii="宋体" w:hAnsi="宋体"/>
          <w:color w:val="000000" w:themeColor="text1"/>
        </w:rPr>
        <w:pict>
          <v:rect id="矩形 8" o:spid="_x0000_s1026" o:spt="1" style="position:absolute;left:0pt;margin-left:238.85pt;margin-top:17.1pt;height:131.2pt;width:218.2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">
            <v:path/>
            <v:fill focussize="0,0"/>
            <v:stroke/>
            <v:imagedata o:title=""/>
            <o:lock v:ext="edit"/>
            <v:textbox>
              <w:txbxContent>
                <w:p>
                  <w:pPr>
                    <w:jc w:val="center"/>
                  </w:pPr>
                </w:p>
                <w:p>
                  <w:pPr>
                    <w:jc w:val="center"/>
                  </w:pPr>
                </w:p>
                <w:p>
                  <w:pPr>
                    <w:jc w:val="center"/>
                  </w:pPr>
                </w:p>
                <w:p>
                  <w:pPr>
                    <w:jc w:val="center"/>
                  </w:pPr>
                  <w:r>
                    <w:rPr>
                      <w:rFonts w:hint="eastAsia"/>
                    </w:rPr>
                    <w:t>法定代表人身份证背面</w:t>
                  </w:r>
                </w:p>
              </w:txbxContent>
            </v:textbox>
          </v:rect>
        </w:pict>
      </w:r>
      <w:r>
        <w:rPr>
          <w:rFonts w:ascii="宋体" w:hAnsi="宋体"/>
          <w:color w:val="000000" w:themeColor="text1"/>
        </w:rPr>
        <w:pict>
          <v:rect id="矩形 7" o:spid="_x0000_s1027" o:spt="1" style="position:absolute;left:0pt;margin-left:0.35pt;margin-top:17.1pt;height:137.55pt;width:218.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">
            <v:path/>
            <v:fill focussize="0,0"/>
            <v:stroke/>
            <v:imagedata o:title=""/>
            <o:lock v:ext="edit"/>
            <v:textbox>
              <w:txbxContent>
                <w:p>
                  <w:pPr>
                    <w:jc w:val="center"/>
                  </w:pPr>
                </w:p>
                <w:p>
                  <w:pPr>
                    <w:jc w:val="center"/>
                  </w:pPr>
                </w:p>
                <w:p>
                  <w:pPr>
                    <w:jc w:val="center"/>
                  </w:pPr>
                </w:p>
                <w:p>
                  <w:pPr>
                    <w:jc w:val="center"/>
                  </w:pPr>
                  <w:r>
                    <w:rPr>
                      <w:rFonts w:hint="eastAsia"/>
                    </w:rPr>
                    <w:t>法定代表人身份证正面</w:t>
                  </w:r>
                </w:p>
              </w:txbxContent>
            </v:textbox>
          </v:rect>
        </w:pict>
      </w:r>
      <w:r>
        <w:rPr>
          <w:rFonts w:hint="eastAsia" w:ascii="宋体" w:hAnsi="宋体"/>
          <w:color w:val="000000" w:themeColor="text1"/>
        </w:rPr>
        <w:t>附：法定代表人身份证复印件</w:t>
      </w:r>
    </w:p>
    <w:p>
      <w:pPr>
        <w:tabs>
          <w:tab w:val="left" w:pos="720"/>
          <w:tab w:val="left" w:pos="900"/>
        </w:tabs>
        <w:topLinePunct/>
        <w:snapToGrid w:val="0"/>
        <w:rPr>
          <w:rFonts w:ascii="宋体" w:hAnsi="宋体"/>
          <w:color w:val="000000" w:themeColor="text1"/>
        </w:rPr>
      </w:pPr>
    </w:p>
    <w:p>
      <w:pPr>
        <w:tabs>
          <w:tab w:val="left" w:pos="720"/>
          <w:tab w:val="left" w:pos="900"/>
        </w:tabs>
        <w:topLinePunct/>
        <w:snapToGrid w:val="0"/>
        <w:rPr>
          <w:rFonts w:ascii="宋体" w:hAnsi="宋体"/>
          <w:color w:val="000000" w:themeColor="text1"/>
        </w:rPr>
      </w:pPr>
    </w:p>
    <w:p>
      <w:pPr>
        <w:tabs>
          <w:tab w:val="left" w:pos="720"/>
          <w:tab w:val="left" w:pos="900"/>
        </w:tabs>
        <w:topLinePunct/>
        <w:snapToGrid w:val="0"/>
        <w:rPr>
          <w:rFonts w:ascii="宋体" w:hAnsi="宋体"/>
          <w:color w:val="000000" w:themeColor="text1"/>
        </w:rPr>
      </w:pPr>
    </w:p>
    <w:p>
      <w:pPr>
        <w:tabs>
          <w:tab w:val="left" w:pos="720"/>
          <w:tab w:val="left" w:pos="900"/>
        </w:tabs>
        <w:topLinePunct/>
        <w:snapToGrid w:val="0"/>
        <w:rPr>
          <w:rFonts w:ascii="宋体" w:hAnsi="宋体"/>
          <w:color w:val="000000" w:themeColor="text1"/>
        </w:rPr>
      </w:pPr>
    </w:p>
    <w:p>
      <w:pPr>
        <w:tabs>
          <w:tab w:val="left" w:pos="720"/>
          <w:tab w:val="left" w:pos="900"/>
        </w:tabs>
        <w:topLinePunct/>
        <w:snapToGrid w:val="0"/>
        <w:rPr>
          <w:rFonts w:ascii="宋体" w:hAnsi="宋体"/>
          <w:color w:val="000000" w:themeColor="text1"/>
        </w:rPr>
      </w:pPr>
    </w:p>
    <w:p>
      <w:pPr>
        <w:tabs>
          <w:tab w:val="left" w:pos="720"/>
          <w:tab w:val="left" w:pos="900"/>
        </w:tabs>
        <w:topLinePunct/>
        <w:snapToGrid w:val="0"/>
        <w:rPr>
          <w:rFonts w:ascii="宋体" w:hAnsi="宋体"/>
          <w:color w:val="000000" w:themeColor="text1"/>
        </w:rPr>
      </w:pPr>
    </w:p>
    <w:p>
      <w:pPr>
        <w:snapToGrid w:val="0"/>
        <w:rPr>
          <w:rFonts w:ascii="宋体" w:hAnsi="宋体"/>
          <w:color w:val="000000" w:themeColor="text1"/>
        </w:rPr>
      </w:pPr>
      <w:r>
        <w:rPr>
          <w:rFonts w:ascii="宋体" w:hAnsi="宋体"/>
          <w:color w:val="000000" w:themeColor="text1"/>
        </w:rPr>
        <w:br w:type="page"/>
      </w:r>
      <w:r>
        <w:rPr>
          <w:rFonts w:hint="eastAsia" w:ascii="宋体" w:hAnsi="宋体"/>
          <w:color w:val="000000" w:themeColor="text1"/>
        </w:rPr>
        <w:t>附件x-2：</w:t>
      </w:r>
    </w:p>
    <w:p>
      <w:pPr>
        <w:snapToGrid w:val="0"/>
        <w:jc w:val="center"/>
        <w:rPr>
          <w:rFonts w:ascii="宋体" w:hAnsi="宋体"/>
          <w:b/>
          <w:bCs/>
          <w:color w:val="000000" w:themeColor="text1"/>
          <w:sz w:val="30"/>
          <w:szCs w:val="30"/>
        </w:rPr>
      </w:pPr>
      <w:r>
        <w:rPr>
          <w:rFonts w:hint="eastAsia" w:ascii="宋体" w:hAnsi="宋体"/>
          <w:b/>
          <w:bCs/>
          <w:color w:val="000000" w:themeColor="text1"/>
          <w:sz w:val="30"/>
          <w:szCs w:val="30"/>
        </w:rPr>
        <w:t>承包商法定代表人授权委托书</w:t>
      </w:r>
    </w:p>
    <w:p>
      <w:pPr>
        <w:snapToGrid w:val="0"/>
        <w:jc w:val="center"/>
        <w:rPr>
          <w:rFonts w:ascii="宋体" w:hAnsi="宋体"/>
          <w:bCs/>
          <w:color w:val="000000" w:themeColor="text1"/>
          <w:sz w:val="28"/>
          <w:szCs w:val="28"/>
        </w:rPr>
      </w:pPr>
    </w:p>
    <w:p>
      <w:pPr>
        <w:snapToGrid w:val="0"/>
        <w:ind w:right="50" w:firstLine="424" w:firstLineChars="177"/>
        <w:rPr>
          <w:rFonts w:ascii="宋体" w:hAnsi="宋体"/>
          <w:color w:val="000000" w:themeColor="text1"/>
        </w:rPr>
      </w:pPr>
      <w:r>
        <w:rPr>
          <w:rFonts w:hint="eastAsia" w:ascii="宋体" w:hAnsi="宋体"/>
          <w:color w:val="000000" w:themeColor="text1"/>
        </w:rPr>
        <w:t>本人</w:t>
      </w:r>
      <w:r>
        <w:rPr>
          <w:rFonts w:ascii="宋体" w:hAnsi="宋体"/>
          <w:color w:val="000000" w:themeColor="text1"/>
        </w:rPr>
        <w:t>（姓名）</w:t>
      </w:r>
      <w:r>
        <w:rPr>
          <w:rFonts w:hint="eastAsia" w:ascii="宋体" w:hAnsi="宋体"/>
          <w:color w:val="000000" w:themeColor="text1"/>
        </w:rPr>
        <w:t>系</w:t>
      </w:r>
      <w:r>
        <w:rPr>
          <w:rFonts w:ascii="宋体" w:hAnsi="宋体"/>
          <w:color w:val="000000" w:themeColor="text1"/>
        </w:rPr>
        <w:t>（</w:t>
      </w:r>
      <w:r>
        <w:rPr>
          <w:rFonts w:hint="eastAsia" w:ascii="宋体" w:hAnsi="宋体"/>
          <w:color w:val="000000" w:themeColor="text1"/>
        </w:rPr>
        <w:t>承包商</w:t>
      </w:r>
      <w:r>
        <w:rPr>
          <w:rFonts w:ascii="宋体" w:hAnsi="宋体"/>
          <w:color w:val="000000" w:themeColor="text1"/>
        </w:rPr>
        <w:t>名称）</w:t>
      </w:r>
      <w:r>
        <w:rPr>
          <w:rFonts w:hint="eastAsia" w:ascii="宋体" w:hAnsi="宋体"/>
          <w:color w:val="000000" w:themeColor="text1"/>
        </w:rPr>
        <w:t>的法定代表人，现委托（姓名）为我方代理人。代理人根据授权，以我方名义处理（采购项目名称）</w:t>
      </w:r>
      <w:r>
        <w:rPr>
          <w:rFonts w:hint="eastAsia" w:hAnsi="宋体"/>
          <w:color w:val="000000" w:themeColor="text1"/>
        </w:rPr>
        <w:t>公开招标采购</w:t>
      </w:r>
      <w:r>
        <w:rPr>
          <w:rFonts w:hint="eastAsia" w:ascii="宋体" w:hAnsi="宋体"/>
          <w:color w:val="000000" w:themeColor="text1"/>
        </w:rPr>
        <w:t>活动的以下事宜，其法律后果由我方承担。</w:t>
      </w:r>
    </w:p>
    <w:p>
      <w:pPr>
        <w:snapToGrid w:val="0"/>
        <w:ind w:right="50" w:firstLine="48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1）</w:t>
      </w:r>
      <w:r>
        <w:rPr>
          <w:rFonts w:hint="eastAsia" w:ascii="宋体" w:hAnsi="宋体"/>
          <w:color w:val="000000" w:themeColor="text1"/>
        </w:rPr>
        <w:t>响应</w:t>
      </w:r>
      <w:r>
        <w:rPr>
          <w:rFonts w:ascii="宋体" w:hAnsi="宋体"/>
          <w:color w:val="000000" w:themeColor="text1"/>
        </w:rPr>
        <w:t>文件的签署、澄清</w:t>
      </w:r>
      <w:r>
        <w:rPr>
          <w:rFonts w:hint="eastAsia" w:ascii="宋体" w:hAnsi="宋体"/>
          <w:color w:val="000000" w:themeColor="text1"/>
        </w:rPr>
        <w:t>、说明、补正</w:t>
      </w:r>
      <w:r>
        <w:rPr>
          <w:rFonts w:ascii="宋体" w:hAnsi="宋体"/>
          <w:color w:val="000000" w:themeColor="text1"/>
        </w:rPr>
        <w:t>、递交、撤回、修改</w:t>
      </w:r>
      <w:r>
        <w:rPr>
          <w:rFonts w:hint="eastAsia" w:ascii="宋体" w:hAnsi="宋体"/>
          <w:color w:val="000000" w:themeColor="text1"/>
        </w:rPr>
        <w:t>；</w:t>
      </w:r>
    </w:p>
    <w:p>
      <w:pPr>
        <w:snapToGrid w:val="0"/>
        <w:ind w:right="50" w:firstLine="48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2）</w:t>
      </w:r>
      <w:r>
        <w:rPr>
          <w:rFonts w:hint="eastAsia" w:ascii="宋体" w:hAnsi="宋体"/>
          <w:color w:val="000000" w:themeColor="text1"/>
        </w:rPr>
        <w:t>递交响应文件</w:t>
      </w:r>
      <w:r>
        <w:rPr>
          <w:rFonts w:ascii="宋体" w:hAnsi="宋体"/>
          <w:color w:val="000000" w:themeColor="text1"/>
        </w:rPr>
        <w:t>；</w:t>
      </w:r>
    </w:p>
    <w:p>
      <w:pPr>
        <w:snapToGrid w:val="0"/>
        <w:ind w:right="50" w:firstLine="48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3）进行谈判；</w:t>
      </w:r>
    </w:p>
    <w:p>
      <w:pPr>
        <w:snapToGrid w:val="0"/>
        <w:ind w:right="50" w:firstLine="480" w:firstLineChars="200"/>
        <w:rPr>
          <w:rFonts w:ascii="宋体" w:hAnsi="宋体"/>
          <w:color w:val="000000" w:themeColor="text1"/>
        </w:rPr>
      </w:pPr>
      <w:r>
        <w:rPr>
          <w:rFonts w:hint="eastAsia" w:ascii="宋体" w:hAnsi="宋体"/>
          <w:color w:val="000000" w:themeColor="text1"/>
        </w:rPr>
        <w:t>（</w:t>
      </w:r>
      <w:r>
        <w:rPr>
          <w:rFonts w:ascii="宋体" w:hAnsi="宋体"/>
          <w:color w:val="000000" w:themeColor="text1"/>
        </w:rPr>
        <w:t>4）签署合同和处理与之有关的一切事务。</w:t>
      </w:r>
    </w:p>
    <w:p>
      <w:pPr>
        <w:snapToGrid w:val="0"/>
        <w:ind w:right="50" w:firstLine="480" w:firstLineChars="200"/>
        <w:rPr>
          <w:rFonts w:ascii="宋体" w:hAnsi="宋体"/>
          <w:color w:val="000000" w:themeColor="text1"/>
        </w:rPr>
      </w:pPr>
      <w:r>
        <w:rPr>
          <w:rFonts w:ascii="宋体" w:hAnsi="宋体"/>
          <w:color w:val="000000" w:themeColor="text1"/>
        </w:rPr>
        <w:t xml:space="preserve">委托期限： </w:t>
      </w:r>
    </w:p>
    <w:p>
      <w:pPr>
        <w:snapToGrid w:val="0"/>
        <w:ind w:right="50" w:firstLine="480" w:firstLineChars="200"/>
        <w:rPr>
          <w:rFonts w:ascii="宋体" w:hAnsi="宋体"/>
          <w:color w:val="000000" w:themeColor="text1"/>
        </w:rPr>
      </w:pPr>
      <w:r>
        <w:rPr>
          <w:rFonts w:hint="eastAsia" w:ascii="宋体" w:hAnsi="宋体"/>
          <w:color w:val="000000" w:themeColor="text1"/>
        </w:rPr>
        <w:t>代理人无转委托权。</w:t>
      </w:r>
    </w:p>
    <w:p>
      <w:pPr>
        <w:snapToGrid w:val="0"/>
        <w:ind w:right="51" w:firstLine="482"/>
        <w:rPr>
          <w:rFonts w:ascii="宋体" w:hAnsi="宋体"/>
          <w:color w:val="000000" w:themeColor="text1"/>
        </w:rPr>
      </w:pPr>
    </w:p>
    <w:p>
      <w:pPr>
        <w:snapToGrid w:val="0"/>
        <w:ind w:right="51" w:firstLine="482"/>
        <w:rPr>
          <w:rFonts w:ascii="宋体" w:hAnsi="宋体"/>
          <w:color w:val="000000" w:themeColor="text1"/>
        </w:rPr>
      </w:pPr>
    </w:p>
    <w:p>
      <w:pPr>
        <w:snapToGrid w:val="0"/>
        <w:ind w:right="51" w:firstLine="482"/>
        <w:rPr>
          <w:rFonts w:ascii="宋体" w:hAnsi="宋体"/>
          <w:color w:val="000000" w:themeColor="text1"/>
        </w:rPr>
      </w:pPr>
    </w:p>
    <w:p>
      <w:pPr>
        <w:snapToGrid w:val="0"/>
        <w:ind w:right="51" w:firstLine="5103"/>
        <w:jc w:val="right"/>
        <w:rPr>
          <w:rFonts w:ascii="宋体" w:hAnsi="宋体"/>
          <w:color w:val="000000" w:themeColor="text1"/>
        </w:rPr>
      </w:pPr>
      <w:r>
        <w:rPr>
          <w:rFonts w:hint="eastAsia" w:ascii="宋体" w:hAnsi="宋体"/>
          <w:color w:val="000000" w:themeColor="text1"/>
        </w:rPr>
        <w:t>承包商：</w:t>
      </w:r>
      <w:r>
        <w:rPr>
          <w:rFonts w:ascii="宋体" w:hAnsi="宋体"/>
          <w:color w:val="000000" w:themeColor="text1"/>
        </w:rPr>
        <w:t>（盖</w:t>
      </w:r>
      <w:r>
        <w:rPr>
          <w:rFonts w:hint="eastAsia" w:ascii="宋体" w:hAnsi="宋体"/>
          <w:color w:val="000000" w:themeColor="text1"/>
        </w:rPr>
        <w:t>单位</w:t>
      </w:r>
      <w:r>
        <w:rPr>
          <w:rFonts w:ascii="宋体" w:hAnsi="宋体"/>
          <w:color w:val="000000" w:themeColor="text1"/>
        </w:rPr>
        <w:t>章）</w:t>
      </w:r>
    </w:p>
    <w:p>
      <w:pPr>
        <w:snapToGrid w:val="0"/>
        <w:ind w:right="51" w:firstLine="5103"/>
        <w:jc w:val="right"/>
        <w:rPr>
          <w:rFonts w:ascii="宋体" w:hAnsi="宋体"/>
          <w:color w:val="000000" w:themeColor="text1"/>
          <w:u w:val="single"/>
        </w:rPr>
      </w:pPr>
      <w:r>
        <w:rPr>
          <w:rFonts w:hint="eastAsia" w:ascii="宋体" w:hAnsi="宋体"/>
          <w:color w:val="000000" w:themeColor="text1"/>
        </w:rPr>
        <w:t>法定代表人：签字或签章</w:t>
      </w:r>
      <w:r>
        <w:rPr>
          <w:rFonts w:hint="eastAsia" w:ascii="宋体" w:hAnsi="宋体"/>
          <w:color w:val="000000" w:themeColor="text1"/>
          <w:u w:val="single"/>
        </w:rPr>
        <w:t xml:space="preserve"> </w:t>
      </w:r>
    </w:p>
    <w:p>
      <w:pPr>
        <w:snapToGrid w:val="0"/>
        <w:ind w:right="51" w:firstLine="6480" w:firstLineChars="2700"/>
        <w:rPr>
          <w:rFonts w:ascii="宋体" w:hAnsi="宋体"/>
          <w:color w:val="000000" w:themeColor="text1"/>
          <w:u w:val="single"/>
        </w:rPr>
      </w:pPr>
      <w:r>
        <w:rPr>
          <w:rFonts w:hint="eastAsia" w:ascii="宋体" w:hAnsi="宋体"/>
          <w:color w:val="000000" w:themeColor="text1"/>
        </w:rPr>
        <w:t>身份证号码：</w:t>
      </w:r>
    </w:p>
    <w:p>
      <w:pPr>
        <w:snapToGrid w:val="0"/>
        <w:ind w:right="51" w:firstLine="5103"/>
        <w:jc w:val="right"/>
        <w:rPr>
          <w:rFonts w:ascii="宋体" w:hAnsi="宋体"/>
          <w:color w:val="000000" w:themeColor="text1"/>
          <w:u w:val="single"/>
        </w:rPr>
      </w:pPr>
      <w:r>
        <w:rPr>
          <w:rFonts w:hint="eastAsia" w:ascii="宋体" w:hAnsi="宋体"/>
          <w:color w:val="000000" w:themeColor="text1"/>
        </w:rPr>
        <w:t>委托代理人：签字或签章</w:t>
      </w:r>
      <w:r>
        <w:rPr>
          <w:rFonts w:hint="eastAsia" w:ascii="宋体" w:hAnsi="宋体"/>
          <w:color w:val="000000" w:themeColor="text1"/>
          <w:u w:val="single"/>
        </w:rPr>
        <w:t xml:space="preserve"> </w:t>
      </w:r>
    </w:p>
    <w:p>
      <w:pPr>
        <w:snapToGrid w:val="0"/>
        <w:ind w:right="51" w:firstLine="6480" w:firstLineChars="2700"/>
        <w:rPr>
          <w:rFonts w:ascii="宋体" w:hAnsi="宋体"/>
          <w:color w:val="000000" w:themeColor="text1"/>
          <w:u w:val="single"/>
        </w:rPr>
      </w:pPr>
      <w:r>
        <w:rPr>
          <w:rFonts w:hint="eastAsia" w:ascii="宋体" w:hAnsi="宋体"/>
          <w:color w:val="000000" w:themeColor="text1"/>
        </w:rPr>
        <w:t>身份证号码：</w:t>
      </w:r>
    </w:p>
    <w:p>
      <w:pPr>
        <w:snapToGrid w:val="0"/>
        <w:ind w:firstLine="480" w:firstLineChars="200"/>
        <w:jc w:val="right"/>
        <w:rPr>
          <w:rFonts w:ascii="宋体" w:hAnsi="宋体"/>
          <w:color w:val="000000" w:themeColor="text1"/>
          <w:kern w:val="0"/>
        </w:rPr>
      </w:pPr>
      <w:r>
        <w:rPr>
          <w:rFonts w:hint="eastAsia" w:ascii="宋体" w:hAnsi="宋体"/>
          <w:color w:val="000000" w:themeColor="text1"/>
          <w:kern w:val="0"/>
        </w:rPr>
        <w:t>xxxx</w:t>
      </w:r>
      <w:r>
        <w:rPr>
          <w:rFonts w:ascii="宋体" w:hAnsi="宋体"/>
          <w:color w:val="000000" w:themeColor="text1"/>
          <w:kern w:val="0"/>
        </w:rPr>
        <w:t>年</w:t>
      </w:r>
      <w:r>
        <w:rPr>
          <w:rFonts w:hint="eastAsia" w:ascii="宋体" w:hAnsi="宋体"/>
          <w:color w:val="000000" w:themeColor="text1"/>
          <w:kern w:val="0"/>
        </w:rPr>
        <w:t>xx</w:t>
      </w:r>
      <w:r>
        <w:rPr>
          <w:rFonts w:ascii="宋体" w:hAnsi="宋体"/>
          <w:color w:val="000000" w:themeColor="text1"/>
          <w:kern w:val="0"/>
        </w:rPr>
        <w:t>月</w:t>
      </w:r>
      <w:r>
        <w:rPr>
          <w:rFonts w:hint="eastAsia" w:ascii="宋体" w:hAnsi="宋体"/>
          <w:color w:val="000000" w:themeColor="text1"/>
          <w:kern w:val="0"/>
        </w:rPr>
        <w:t>xx</w:t>
      </w:r>
      <w:r>
        <w:rPr>
          <w:rFonts w:ascii="宋体" w:hAnsi="宋体"/>
          <w:color w:val="000000" w:themeColor="text1"/>
          <w:kern w:val="0"/>
        </w:rPr>
        <w:t>日</w:t>
      </w:r>
    </w:p>
    <w:p>
      <w:pPr>
        <w:topLinePunct/>
        <w:snapToGrid w:val="0"/>
        <w:ind w:firstLine="480" w:firstLineChars="200"/>
        <w:jc w:val="left"/>
        <w:rPr>
          <w:rFonts w:ascii="宋体" w:hAnsi="宋体"/>
          <w:color w:val="000000" w:themeColor="text1"/>
        </w:rPr>
      </w:pPr>
      <w:r>
        <w:rPr>
          <w:rFonts w:hint="eastAsia" w:ascii="宋体" w:hAnsi="宋体"/>
          <w:color w:val="000000" w:themeColor="text1"/>
        </w:rPr>
        <w:t>附：委托代理人身份证复印件</w:t>
      </w:r>
    </w:p>
    <w:p>
      <w:pPr>
        <w:topLinePunct/>
        <w:snapToGrid w:val="0"/>
        <w:jc w:val="left"/>
        <w:rPr>
          <w:rFonts w:ascii="宋体" w:hAnsi="宋体"/>
          <w:color w:val="000000" w:themeColor="text1"/>
        </w:rPr>
      </w:pPr>
      <w:r>
        <w:rPr>
          <w:rFonts w:ascii="宋体" w:hAnsi="宋体"/>
          <w:color w:val="000000" w:themeColor="text1"/>
        </w:rPr>
        <w:pict>
          <v:rect id="矩形 6" o:spid="_x0000_s1028" o:spt="1" style="position:absolute;left:0pt;margin-left:230.6pt;margin-top:5.95pt;height:152.25pt;width:218.2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">
            <v:path/>
            <v:fill focussize="0,0"/>
            <v:stroke/>
            <v:imagedata o:title=""/>
            <o:lock v:ext="edit"/>
            <v:textbox>
              <w:txbxContent>
                <w:p>
                  <w:pPr>
                    <w:jc w:val="center"/>
                  </w:pPr>
                </w:p>
                <w:p>
                  <w:pPr>
                    <w:jc w:val="center"/>
                  </w:pPr>
                </w:p>
                <w:p>
                  <w:pPr>
                    <w:jc w:val="center"/>
                  </w:pPr>
                </w:p>
                <w:p>
                  <w:pPr>
                    <w:jc w:val="center"/>
                  </w:pPr>
                  <w:r>
                    <w:rPr>
                      <w:rFonts w:hint="eastAsia"/>
                    </w:rPr>
                    <w:t>委托代理人身份证背面</w:t>
                  </w:r>
                </w:p>
              </w:txbxContent>
            </v:textbox>
          </v:rect>
        </w:pict>
      </w:r>
      <w:r>
        <w:rPr>
          <w:rFonts w:ascii="宋体" w:hAnsi="宋体"/>
          <w:color w:val="000000" w:themeColor="text1"/>
        </w:rPr>
        <w:pict>
          <v:rect id="_x0000_s1029" o:spid="_x0000_s1029" o:spt="1" style="position:absolute;left:0pt;margin-left:0.35pt;margin-top:5.95pt;height:152.25pt;width:218.2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">
            <v:path/>
            <v:fill focussize="0,0"/>
            <v:stroke/>
            <v:imagedata o:title=""/>
            <o:lock v:ext="edit"/>
            <v:textbox>
              <w:txbxContent>
                <w:p>
                  <w:pPr>
                    <w:jc w:val="center"/>
                  </w:pPr>
                </w:p>
                <w:p>
                  <w:pPr>
                    <w:jc w:val="center"/>
                  </w:pPr>
                </w:p>
                <w:p>
                  <w:pPr>
                    <w:jc w:val="center"/>
                  </w:pPr>
                </w:p>
                <w:p>
                  <w:pPr>
                    <w:jc w:val="center"/>
                  </w:pPr>
                  <w:r>
                    <w:rPr>
                      <w:rFonts w:hint="eastAsia"/>
                    </w:rPr>
                    <w:t>委托代理人身份证正面</w:t>
                  </w:r>
                </w:p>
              </w:txbxContent>
            </v:textbox>
          </v:rect>
        </w:pict>
      </w:r>
    </w:p>
    <w:p>
      <w:pPr>
        <w:snapToGrid w:val="0"/>
        <w:ind w:right="51" w:firstLine="482"/>
        <w:rPr>
          <w:rFonts w:ascii="宋体" w:hAnsi="宋体"/>
          <w:color w:val="000000" w:themeColor="text1"/>
        </w:rPr>
      </w:pPr>
    </w:p>
    <w:p>
      <w:pPr>
        <w:snapToGrid w:val="0"/>
        <w:rPr>
          <w:rFonts w:ascii="宋体" w:hAnsi="宋体"/>
          <w:color w:val="000000" w:themeColor="text1"/>
        </w:rPr>
      </w:pPr>
    </w:p>
    <w:p>
      <w:pPr>
        <w:snapToGrid w:val="0"/>
        <w:rPr>
          <w:rFonts w:ascii="宋体" w:hAnsi="宋体"/>
          <w:color w:val="000000" w:themeColor="text1"/>
        </w:rPr>
      </w:pPr>
    </w:p>
    <w:p>
      <w:pPr>
        <w:snapToGrid w:val="0"/>
        <w:rPr>
          <w:rFonts w:ascii="宋体" w:hAnsi="宋体"/>
          <w:color w:val="000000" w:themeColor="text1"/>
        </w:rPr>
      </w:pPr>
    </w:p>
    <w:p>
      <w:pPr>
        <w:snapToGrid w:val="0"/>
        <w:rPr>
          <w:rFonts w:ascii="宋体" w:hAnsi="宋体"/>
          <w:color w:val="000000" w:themeColor="text1"/>
        </w:rPr>
      </w:pPr>
    </w:p>
    <w:p>
      <w:pPr>
        <w:snapToGrid w:val="0"/>
        <w:rPr>
          <w:rFonts w:ascii="宋体" w:hAnsi="宋体"/>
          <w:color w:val="000000" w:themeColor="text1"/>
        </w:rPr>
      </w:pPr>
    </w:p>
    <w:p>
      <w:pPr>
        <w:adjustRightInd w:val="0"/>
        <w:snapToGrid w:val="0"/>
        <w:spacing w:afterLines="100"/>
        <w:rPr>
          <w:rFonts w:ascii="宋体" w:hAnsi="宋体"/>
          <w:color w:val="000000" w:themeColor="text1"/>
        </w:rPr>
        <w:sectPr>
          <w:pgSz w:w="11906" w:h="16838"/>
          <w:pgMar w:top="1418" w:right="1418" w:bottom="1418" w:left="1418" w:header="851" w:footer="992" w:gutter="0"/>
          <w:cols w:space="720" w:num="1"/>
        </w:sectPr>
      </w:pPr>
    </w:p>
    <w:p>
      <w:pPr>
        <w:widowControl/>
        <w:spacing w:line="240" w:lineRule="auto"/>
        <w:jc w:val="left"/>
        <w:rPr>
          <w:rFonts w:ascii="Arial" w:hAnsi="宋体"/>
          <w:bCs/>
          <w:color w:val="000000" w:themeColor="text1"/>
          <w:kern w:val="0"/>
        </w:rPr>
      </w:pPr>
      <w:r>
        <w:rPr>
          <w:rFonts w:ascii="宋体" w:hAnsi="宋体"/>
          <w:color w:val="000000" w:themeColor="text1"/>
        </w:rPr>
        <w:t>附件</w:t>
      </w:r>
      <w:r>
        <w:rPr>
          <w:rFonts w:hint="eastAsia" w:ascii="宋体" w:hAnsi="宋体"/>
          <w:color w:val="000000" w:themeColor="text1"/>
        </w:rPr>
        <w:t>x</w:t>
      </w:r>
      <w:r>
        <w:rPr>
          <w:rFonts w:ascii="宋体" w:hAnsi="宋体"/>
          <w:color w:val="000000" w:themeColor="text1"/>
        </w:rPr>
        <w:t>：</w:t>
      </w:r>
    </w:p>
    <w:p>
      <w:pPr>
        <w:adjustRightInd w:val="0"/>
        <w:snapToGrid w:val="0"/>
        <w:jc w:val="right"/>
        <w:rPr>
          <w:rFonts w:ascii="宋体" w:hAnsi="宋体"/>
          <w:b/>
          <w:color w:val="000000" w:themeColor="text1"/>
          <w:sz w:val="32"/>
          <w:szCs w:val="32"/>
        </w:rPr>
      </w:pPr>
      <w:r>
        <w:rPr>
          <w:rFonts w:hint="eastAsia" w:ascii="宋体" w:hAnsi="宋体"/>
          <w:b/>
          <w:color w:val="000000" w:themeColor="text1"/>
          <w:sz w:val="32"/>
          <w:szCs w:val="32"/>
        </w:rPr>
        <w:t>正本/副本</w:t>
      </w:r>
    </w:p>
    <w:p>
      <w:pPr>
        <w:adjustRightInd w:val="0"/>
        <w:snapToGrid w:val="0"/>
        <w:jc w:val="right"/>
        <w:rPr>
          <w:rFonts w:ascii="宋体" w:hAnsi="宋体"/>
          <w:b/>
          <w:bCs/>
          <w:color w:val="000000" w:themeColor="text1"/>
          <w:sz w:val="32"/>
          <w:szCs w:val="32"/>
        </w:rPr>
      </w:pPr>
    </w:p>
    <w:p>
      <w:pPr>
        <w:spacing w:line="240" w:lineRule="auto"/>
        <w:jc w:val="center"/>
        <w:rPr>
          <w:rFonts w:hAnsi="宋体"/>
          <w:b/>
          <w:color w:val="000000" w:themeColor="text1"/>
          <w:sz w:val="36"/>
          <w:szCs w:val="36"/>
        </w:rPr>
      </w:pPr>
      <w:r>
        <w:rPr>
          <w:rFonts w:hint="eastAsia" w:hAnsi="宋体"/>
          <w:b/>
          <w:color w:val="000000" w:themeColor="text1"/>
          <w:sz w:val="36"/>
          <w:szCs w:val="36"/>
        </w:rPr>
        <w:t>（采购项目名称）</w:t>
      </w:r>
    </w:p>
    <w:p>
      <w:pPr>
        <w:spacing w:line="240" w:lineRule="auto"/>
        <w:jc w:val="center"/>
        <w:rPr>
          <w:rFonts w:hAnsi="宋体"/>
          <w:b/>
          <w:color w:val="000000" w:themeColor="text1"/>
          <w:sz w:val="36"/>
          <w:szCs w:val="36"/>
          <w:u w:val="single"/>
        </w:rPr>
      </w:pPr>
      <w:r>
        <w:rPr>
          <w:rFonts w:hint="eastAsia" w:ascii="宋体" w:hAnsi="宋体"/>
          <w:b/>
          <w:color w:val="000000" w:themeColor="text1"/>
          <w:sz w:val="36"/>
          <w:szCs w:val="36"/>
        </w:rPr>
        <w:t>公开招标采购</w:t>
      </w:r>
    </w:p>
    <w:p>
      <w:pPr>
        <w:adjustRightInd w:val="0"/>
        <w:snapToGrid w:val="0"/>
        <w:jc w:val="center"/>
        <w:rPr>
          <w:rFonts w:ascii="宋体" w:hAnsi="宋体"/>
          <w:bCs/>
          <w:color w:val="000000" w:themeColor="text1"/>
          <w:sz w:val="48"/>
          <w:szCs w:val="48"/>
        </w:rPr>
      </w:pPr>
    </w:p>
    <w:p>
      <w:pPr>
        <w:adjustRightInd w:val="0"/>
        <w:snapToGrid w:val="0"/>
        <w:jc w:val="center"/>
        <w:rPr>
          <w:rFonts w:ascii="宋体" w:hAnsi="宋体"/>
          <w:b/>
          <w:bCs/>
          <w:color w:val="000000" w:themeColor="text1"/>
          <w:kern w:val="0"/>
          <w:sz w:val="30"/>
          <w:szCs w:val="30"/>
        </w:rPr>
      </w:pPr>
    </w:p>
    <w:p>
      <w:pPr>
        <w:adjustRightInd w:val="0"/>
        <w:snapToGrid w:val="0"/>
        <w:jc w:val="center"/>
        <w:rPr>
          <w:rFonts w:ascii="宋体" w:hAnsi="宋体"/>
          <w:b/>
          <w:bCs/>
          <w:color w:val="000000" w:themeColor="text1"/>
          <w:kern w:val="0"/>
          <w:sz w:val="30"/>
          <w:szCs w:val="30"/>
        </w:rPr>
      </w:pPr>
    </w:p>
    <w:p>
      <w:pPr>
        <w:adjustRightInd w:val="0"/>
        <w:snapToGrid w:val="0"/>
        <w:jc w:val="center"/>
        <w:rPr>
          <w:rFonts w:ascii="宋体" w:hAnsi="宋体"/>
          <w:b/>
          <w:bCs/>
          <w:color w:val="000000" w:themeColor="text1"/>
          <w:kern w:val="0"/>
          <w:sz w:val="30"/>
          <w:szCs w:val="30"/>
        </w:rPr>
      </w:pPr>
    </w:p>
    <w:p>
      <w:pPr>
        <w:adjustRightInd w:val="0"/>
        <w:snapToGrid w:val="0"/>
        <w:jc w:val="center"/>
        <w:rPr>
          <w:rFonts w:ascii="宋体" w:hAnsi="宋体"/>
          <w:b/>
          <w:bCs/>
          <w:color w:val="000000" w:themeColor="text1"/>
          <w:kern w:val="0"/>
          <w:sz w:val="30"/>
          <w:szCs w:val="30"/>
        </w:rPr>
      </w:pPr>
    </w:p>
    <w:p>
      <w:pPr>
        <w:adjustRightInd w:val="0"/>
        <w:snapToGrid w:val="0"/>
        <w:spacing w:line="240" w:lineRule="auto"/>
        <w:jc w:val="center"/>
        <w:rPr>
          <w:rFonts w:ascii="宋体" w:hAnsi="宋体"/>
          <w:b/>
          <w:bCs/>
          <w:color w:val="000000" w:themeColor="text1"/>
          <w:kern w:val="0"/>
          <w:sz w:val="52"/>
          <w:szCs w:val="52"/>
        </w:rPr>
      </w:pPr>
      <w:r>
        <w:rPr>
          <w:rFonts w:hint="eastAsia"/>
          <w:b/>
          <w:color w:val="000000" w:themeColor="text1"/>
          <w:kern w:val="0"/>
          <w:sz w:val="28"/>
          <w:szCs w:val="28"/>
        </w:rPr>
        <w:t xml:space="preserve">   </w:t>
      </w:r>
      <w:r>
        <w:rPr>
          <w:rFonts w:hint="eastAsia" w:ascii="宋体" w:hAnsi="宋体"/>
          <w:b/>
          <w:bCs/>
          <w:color w:val="000000" w:themeColor="text1"/>
          <w:kern w:val="0"/>
          <w:sz w:val="44"/>
          <w:szCs w:val="44"/>
        </w:rPr>
        <w:t>补充响应文件/终版响应文件</w:t>
      </w:r>
    </w:p>
    <w:p>
      <w:pPr>
        <w:adjustRightInd w:val="0"/>
        <w:snapToGrid w:val="0"/>
        <w:spacing w:before="120"/>
        <w:ind w:left="1233" w:hanging="753"/>
        <w:rPr>
          <w:rFonts w:ascii="宋体" w:hAnsi="宋体"/>
          <w:b/>
          <w:color w:val="000000" w:themeColor="text1"/>
          <w:kern w:val="0"/>
          <w:sz w:val="30"/>
          <w:szCs w:val="30"/>
        </w:rPr>
      </w:pPr>
    </w:p>
    <w:p>
      <w:pPr>
        <w:adjustRightInd w:val="0"/>
        <w:snapToGrid w:val="0"/>
        <w:spacing w:before="120"/>
        <w:ind w:left="1233" w:hanging="753"/>
        <w:rPr>
          <w:rFonts w:ascii="宋体" w:hAnsi="宋体"/>
          <w:b/>
          <w:color w:val="000000" w:themeColor="text1"/>
          <w:kern w:val="0"/>
          <w:sz w:val="30"/>
          <w:szCs w:val="30"/>
        </w:rPr>
      </w:pPr>
    </w:p>
    <w:p>
      <w:pPr>
        <w:adjustRightInd w:val="0"/>
        <w:snapToGrid w:val="0"/>
        <w:spacing w:before="120"/>
        <w:ind w:left="1233" w:hanging="753"/>
        <w:rPr>
          <w:rFonts w:ascii="宋体" w:hAnsi="宋体"/>
          <w:b/>
          <w:color w:val="000000" w:themeColor="text1"/>
          <w:kern w:val="0"/>
          <w:sz w:val="30"/>
          <w:szCs w:val="30"/>
        </w:rPr>
      </w:pPr>
    </w:p>
    <w:p>
      <w:pPr>
        <w:adjustRightInd w:val="0"/>
        <w:snapToGrid w:val="0"/>
        <w:spacing w:before="120"/>
        <w:ind w:left="806" w:hanging="326"/>
        <w:rPr>
          <w:rFonts w:ascii="宋体" w:hAnsi="宋体"/>
          <w:b/>
          <w:color w:val="000000" w:themeColor="text1"/>
          <w:kern w:val="0"/>
          <w:sz w:val="13"/>
          <w:szCs w:val="13"/>
        </w:rPr>
      </w:pPr>
    </w:p>
    <w:p>
      <w:pPr>
        <w:adjustRightInd w:val="0"/>
        <w:snapToGrid w:val="0"/>
        <w:spacing w:before="120"/>
        <w:ind w:left="1233" w:hanging="753"/>
        <w:rPr>
          <w:rFonts w:ascii="宋体" w:hAnsi="宋体"/>
          <w:b/>
          <w:color w:val="000000" w:themeColor="text1"/>
          <w:kern w:val="0"/>
          <w:sz w:val="30"/>
          <w:szCs w:val="30"/>
        </w:rPr>
      </w:pPr>
    </w:p>
    <w:p>
      <w:pPr>
        <w:ind w:left="1384" w:hanging="904"/>
        <w:jc w:val="center"/>
        <w:rPr>
          <w:rFonts w:ascii="宋体" w:hAnsi="宋体"/>
          <w:b/>
          <w:color w:val="000000" w:themeColor="text1"/>
          <w:kern w:val="0"/>
          <w:sz w:val="36"/>
          <w:szCs w:val="36"/>
        </w:rPr>
      </w:pPr>
      <w:r>
        <w:rPr>
          <w:rFonts w:ascii="宋体" w:hAnsi="宋体"/>
          <w:b/>
          <w:color w:val="000000" w:themeColor="text1"/>
          <w:kern w:val="0"/>
          <w:sz w:val="36"/>
          <w:szCs w:val="36"/>
        </w:rPr>
        <w:t>承包商：（盖</w:t>
      </w:r>
      <w:r>
        <w:rPr>
          <w:rFonts w:hint="eastAsia" w:ascii="宋体" w:hAnsi="宋体"/>
          <w:b/>
          <w:color w:val="000000" w:themeColor="text1"/>
          <w:kern w:val="0"/>
          <w:sz w:val="36"/>
          <w:szCs w:val="36"/>
        </w:rPr>
        <w:t>单位</w:t>
      </w:r>
      <w:r>
        <w:rPr>
          <w:rFonts w:ascii="宋体" w:hAnsi="宋体"/>
          <w:b/>
          <w:color w:val="000000" w:themeColor="text1"/>
          <w:kern w:val="0"/>
          <w:sz w:val="36"/>
          <w:szCs w:val="36"/>
        </w:rPr>
        <w:t>章）</w:t>
      </w:r>
    </w:p>
    <w:p>
      <w:pPr>
        <w:ind w:left="1384" w:hanging="904"/>
        <w:jc w:val="center"/>
        <w:rPr>
          <w:rFonts w:ascii="宋体" w:hAnsi="宋体"/>
          <w:b/>
          <w:color w:val="000000" w:themeColor="text1"/>
          <w:kern w:val="0"/>
          <w:sz w:val="36"/>
          <w:szCs w:val="36"/>
        </w:rPr>
      </w:pPr>
      <w:r>
        <w:rPr>
          <w:rFonts w:hint="eastAsia" w:ascii="宋体" w:hAnsi="宋体"/>
          <w:b/>
          <w:color w:val="000000" w:themeColor="text1"/>
          <w:kern w:val="0"/>
          <w:sz w:val="36"/>
          <w:szCs w:val="36"/>
        </w:rPr>
        <w:t>xxxx</w:t>
      </w:r>
      <w:r>
        <w:rPr>
          <w:rFonts w:ascii="宋体" w:hAnsi="宋体"/>
          <w:b/>
          <w:color w:val="000000" w:themeColor="text1"/>
          <w:kern w:val="0"/>
          <w:sz w:val="36"/>
          <w:szCs w:val="36"/>
        </w:rPr>
        <w:t>年</w:t>
      </w:r>
      <w:r>
        <w:rPr>
          <w:rFonts w:hint="eastAsia" w:ascii="宋体" w:hAnsi="宋体"/>
          <w:b/>
          <w:color w:val="000000" w:themeColor="text1"/>
          <w:kern w:val="0"/>
          <w:sz w:val="36"/>
          <w:szCs w:val="36"/>
        </w:rPr>
        <w:t>xx</w:t>
      </w:r>
      <w:r>
        <w:rPr>
          <w:rFonts w:ascii="宋体" w:hAnsi="宋体"/>
          <w:b/>
          <w:color w:val="000000" w:themeColor="text1"/>
          <w:kern w:val="0"/>
          <w:sz w:val="36"/>
          <w:szCs w:val="36"/>
        </w:rPr>
        <w:t>月</w:t>
      </w:r>
      <w:r>
        <w:rPr>
          <w:rFonts w:hint="eastAsia" w:ascii="宋体" w:hAnsi="宋体"/>
          <w:b/>
          <w:color w:val="000000" w:themeColor="text1"/>
          <w:kern w:val="0"/>
          <w:sz w:val="36"/>
          <w:szCs w:val="36"/>
        </w:rPr>
        <w:t>xx</w:t>
      </w:r>
      <w:r>
        <w:rPr>
          <w:rFonts w:ascii="宋体" w:hAnsi="宋体"/>
          <w:b/>
          <w:color w:val="000000" w:themeColor="text1"/>
          <w:kern w:val="0"/>
          <w:sz w:val="36"/>
          <w:szCs w:val="36"/>
        </w:rPr>
        <w:t>日</w:t>
      </w:r>
    </w:p>
    <w:p>
      <w:pPr>
        <w:adjustRightInd w:val="0"/>
        <w:snapToGrid w:val="0"/>
        <w:spacing w:afterLines="50"/>
        <w:jc w:val="left"/>
        <w:rPr>
          <w:rFonts w:ascii="宋体" w:hAnsi="宋体"/>
          <w:color w:val="000000" w:themeColor="text1"/>
        </w:rPr>
      </w:pPr>
    </w:p>
    <w:p>
      <w:pPr>
        <w:adjustRightInd w:val="0"/>
        <w:snapToGrid w:val="0"/>
        <w:spacing w:afterLines="100"/>
        <w:rPr>
          <w:rFonts w:ascii="宋体" w:hAnsi="宋体"/>
          <w:color w:val="000000" w:themeColor="text1"/>
        </w:rPr>
      </w:pPr>
    </w:p>
    <w:sectPr>
      <w:pgSz w:w="11906" w:h="16838"/>
      <w:pgMar w:top="1418" w:right="1418" w:bottom="1418" w:left="1418"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Optima">
    <w:altName w:val="Candara"/>
    <w:panose1 w:val="00000000000000000000"/>
    <w:charset w:val="00"/>
    <w:family w:val="swiss"/>
    <w:pitch w:val="default"/>
    <w:sig w:usb0="00000000" w:usb1="00000000" w:usb2="00000000" w:usb3="00000000" w:csb0="00000001" w:csb1="00000000"/>
  </w:font>
  <w:font w:name="Candara">
    <w:panose1 w:val="020E0502030303020204"/>
    <w:charset w:val="00"/>
    <w:family w:val="auto"/>
    <w:pitch w:val="default"/>
    <w:sig w:usb0="A00002EF" w:usb1="4000A44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ì.">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rPr>
        <w:rFonts w:ascii="宋体" w:hAnsi="宋体"/>
        <w:sz w:val="21"/>
        <w:szCs w:val="21"/>
      </w:rPr>
    </w:pPr>
    <w:r>
      <w:rPr>
        <w:rStyle w:val="65"/>
        <w:rFonts w:ascii="宋体" w:hAnsi="宋体"/>
        <w:sz w:val="21"/>
        <w:szCs w:val="21"/>
      </w:rPr>
      <w:fldChar w:fldCharType="begin"/>
    </w:r>
    <w:r>
      <w:rPr>
        <w:rStyle w:val="65"/>
        <w:rFonts w:ascii="宋体" w:hAnsi="宋体"/>
        <w:sz w:val="21"/>
        <w:szCs w:val="21"/>
      </w:rPr>
      <w:instrText xml:space="preserve"> PAGE </w:instrText>
    </w:r>
    <w:r>
      <w:rPr>
        <w:rStyle w:val="65"/>
        <w:rFonts w:ascii="宋体" w:hAnsi="宋体"/>
        <w:sz w:val="21"/>
        <w:szCs w:val="21"/>
      </w:rPr>
      <w:fldChar w:fldCharType="separate"/>
    </w:r>
    <w:r>
      <w:rPr>
        <w:rStyle w:val="65"/>
        <w:rFonts w:ascii="宋体" w:hAnsi="宋体"/>
        <w:sz w:val="21"/>
        <w:szCs w:val="21"/>
      </w:rPr>
      <w:t>I</w:t>
    </w:r>
    <w:r>
      <w:rPr>
        <w:rStyle w:val="65"/>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jc w:val="center"/>
      <w:rPr>
        <w:rFonts w:ascii="宋体" w:hAnsi="宋体"/>
        <w:sz w:val="21"/>
        <w:szCs w:val="21"/>
      </w:rPr>
    </w:pPr>
    <w:r>
      <w:rPr>
        <w:rStyle w:val="65"/>
        <w:rFonts w:ascii="宋体" w:hAnsi="宋体"/>
        <w:sz w:val="21"/>
        <w:szCs w:val="21"/>
      </w:rPr>
      <w:fldChar w:fldCharType="begin"/>
    </w:r>
    <w:r>
      <w:rPr>
        <w:rStyle w:val="65"/>
        <w:rFonts w:ascii="宋体" w:hAnsi="宋体"/>
        <w:sz w:val="21"/>
        <w:szCs w:val="21"/>
      </w:rPr>
      <w:instrText xml:space="preserve"> PAGE </w:instrText>
    </w:r>
    <w:r>
      <w:rPr>
        <w:rStyle w:val="65"/>
        <w:rFonts w:ascii="宋体" w:hAnsi="宋体"/>
        <w:sz w:val="21"/>
        <w:szCs w:val="21"/>
      </w:rPr>
      <w:fldChar w:fldCharType="separate"/>
    </w:r>
    <w:r>
      <w:rPr>
        <w:rStyle w:val="65"/>
        <w:rFonts w:ascii="宋体" w:hAnsi="宋体"/>
        <w:sz w:val="21"/>
        <w:szCs w:val="21"/>
      </w:rPr>
      <w:t>10</w:t>
    </w:r>
    <w:r>
      <w:rPr>
        <w:rStyle w:val="65"/>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jc w:val="center"/>
      <w:rPr>
        <w:rFonts w:ascii="宋体" w:hAnsi="宋体"/>
        <w:sz w:val="21"/>
        <w:szCs w:val="21"/>
      </w:rPr>
    </w:pPr>
    <w:r>
      <w:rPr>
        <w:rStyle w:val="65"/>
        <w:rFonts w:ascii="宋体" w:hAnsi="宋体"/>
        <w:sz w:val="21"/>
        <w:szCs w:val="21"/>
      </w:rPr>
      <w:fldChar w:fldCharType="begin"/>
    </w:r>
    <w:r>
      <w:rPr>
        <w:rStyle w:val="65"/>
        <w:rFonts w:ascii="宋体" w:hAnsi="宋体"/>
        <w:sz w:val="21"/>
        <w:szCs w:val="21"/>
      </w:rPr>
      <w:instrText xml:space="preserve"> PAGE </w:instrText>
    </w:r>
    <w:r>
      <w:rPr>
        <w:rStyle w:val="65"/>
        <w:rFonts w:ascii="宋体" w:hAnsi="宋体"/>
        <w:sz w:val="21"/>
        <w:szCs w:val="21"/>
      </w:rPr>
      <w:fldChar w:fldCharType="separate"/>
    </w:r>
    <w:r>
      <w:rPr>
        <w:rStyle w:val="65"/>
        <w:rFonts w:ascii="宋体" w:hAnsi="宋体"/>
        <w:sz w:val="21"/>
        <w:szCs w:val="21"/>
      </w:rPr>
      <w:t>12</w:t>
    </w:r>
    <w:r>
      <w:rPr>
        <w:rStyle w:val="65"/>
        <w:rFonts w:ascii="宋体" w:hAnsi="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hAnsi="宋体"/>
        <w:sz w:val="21"/>
        <w:szCs w:val="21"/>
      </w:rPr>
    </w:pPr>
    <w:r>
      <w:rPr>
        <w:rStyle w:val="65"/>
        <w:rFonts w:ascii="宋体" w:hAnsi="宋体"/>
        <w:sz w:val="21"/>
        <w:szCs w:val="21"/>
      </w:rPr>
      <w:fldChar w:fldCharType="begin"/>
    </w:r>
    <w:r>
      <w:rPr>
        <w:rStyle w:val="65"/>
        <w:rFonts w:ascii="宋体" w:hAnsi="宋体"/>
        <w:sz w:val="21"/>
        <w:szCs w:val="21"/>
      </w:rPr>
      <w:instrText xml:space="preserve"> PAGE </w:instrText>
    </w:r>
    <w:r>
      <w:rPr>
        <w:rStyle w:val="65"/>
        <w:rFonts w:ascii="宋体" w:hAnsi="宋体"/>
        <w:sz w:val="21"/>
        <w:szCs w:val="21"/>
      </w:rPr>
      <w:fldChar w:fldCharType="separate"/>
    </w:r>
    <w:r>
      <w:rPr>
        <w:rStyle w:val="65"/>
        <w:rFonts w:ascii="宋体" w:hAnsi="宋体"/>
        <w:sz w:val="21"/>
        <w:szCs w:val="21"/>
      </w:rPr>
      <w:t>14</w:t>
    </w:r>
    <w:r>
      <w:rPr>
        <w:rStyle w:val="65"/>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jc w:val="center"/>
      <w:rPr>
        <w:rFonts w:ascii="宋体" w:hAnsi="宋体"/>
        <w:sz w:val="21"/>
        <w:szCs w:val="21"/>
      </w:rPr>
    </w:pPr>
    <w:r>
      <w:rPr>
        <w:rStyle w:val="65"/>
        <w:rFonts w:ascii="宋体" w:hAnsi="宋体"/>
        <w:sz w:val="21"/>
        <w:szCs w:val="21"/>
      </w:rPr>
      <w:fldChar w:fldCharType="begin"/>
    </w:r>
    <w:r>
      <w:rPr>
        <w:rStyle w:val="65"/>
        <w:rFonts w:ascii="宋体" w:hAnsi="宋体"/>
        <w:sz w:val="21"/>
        <w:szCs w:val="21"/>
      </w:rPr>
      <w:instrText xml:space="preserve"> PAGE </w:instrText>
    </w:r>
    <w:r>
      <w:rPr>
        <w:rStyle w:val="65"/>
        <w:rFonts w:ascii="宋体" w:hAnsi="宋体"/>
        <w:sz w:val="21"/>
        <w:szCs w:val="21"/>
      </w:rPr>
      <w:fldChar w:fldCharType="separate"/>
    </w:r>
    <w:r>
      <w:rPr>
        <w:rStyle w:val="65"/>
        <w:rFonts w:ascii="宋体" w:hAnsi="宋体"/>
        <w:sz w:val="21"/>
        <w:szCs w:val="21"/>
      </w:rPr>
      <w:t>39</w:t>
    </w:r>
    <w:r>
      <w:rPr>
        <w:rStyle w:val="65"/>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A2A42"/>
    <w:multiLevelType w:val="singleLevel"/>
    <w:tmpl w:val="21FA2A42"/>
    <w:lvl w:ilvl="0" w:tentative="0">
      <w:start w:val="1"/>
      <w:numFmt w:val="bullet"/>
      <w:pStyle w:val="346"/>
      <w:lvlText w:val=""/>
      <w:lvlJc w:val="left"/>
      <w:pPr>
        <w:tabs>
          <w:tab w:val="left" w:pos="2880"/>
        </w:tabs>
        <w:ind w:left="2880" w:hanging="360"/>
      </w:pPr>
      <w:rPr>
        <w:rFonts w:hint="default" w:ascii="Symbol" w:hAnsi="Symbol"/>
      </w:rPr>
    </w:lvl>
  </w:abstractNum>
  <w:abstractNum w:abstractNumId="1">
    <w:nsid w:val="36551F12"/>
    <w:multiLevelType w:val="multilevel"/>
    <w:tmpl w:val="36551F12"/>
    <w:lvl w:ilvl="0" w:tentative="0">
      <w:start w:val="1"/>
      <w:numFmt w:val="bullet"/>
      <w:lvlText w:val=""/>
      <w:lvlJc w:val="left"/>
      <w:pPr>
        <w:tabs>
          <w:tab w:val="left" w:pos="720"/>
        </w:tabs>
        <w:ind w:left="720" w:hanging="360"/>
      </w:pPr>
      <w:rPr>
        <w:rFonts w:hint="default" w:ascii="Symbol" w:hAnsi="Symbol"/>
      </w:rPr>
    </w:lvl>
    <w:lvl w:ilvl="1" w:tentative="0">
      <w:start w:val="1"/>
      <w:numFmt w:val="bullet"/>
      <w:pStyle w:val="348"/>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ABB3335"/>
    <w:multiLevelType w:val="multilevel"/>
    <w:tmpl w:val="4ABB33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3141D9"/>
    <w:multiLevelType w:val="multilevel"/>
    <w:tmpl w:val="5E3141D9"/>
    <w:lvl w:ilvl="0" w:tentative="0">
      <w:start w:val="1"/>
      <w:numFmt w:val="decimal"/>
      <w:pStyle w:val="191"/>
      <w:lvlText w:val="%1."/>
      <w:lvlJc w:val="left"/>
      <w:pPr>
        <w:tabs>
          <w:tab w:val="left" w:pos="0"/>
        </w:tabs>
        <w:ind w:left="284" w:hanging="284"/>
      </w:pPr>
      <w:rPr>
        <w:rFonts w:hint="default" w:hAnsi="Times New Roman"/>
      </w:rPr>
    </w:lvl>
    <w:lvl w:ilvl="1" w:tentative="0">
      <w:start w:val="1"/>
      <w:numFmt w:val="decimal"/>
      <w:isLgl/>
      <w:lvlText w:val="%1.%2"/>
      <w:lvlJc w:val="left"/>
      <w:pPr>
        <w:tabs>
          <w:tab w:val="left" w:pos="0"/>
        </w:tabs>
        <w:ind w:left="405" w:hanging="405"/>
      </w:pPr>
      <w:rPr>
        <w:rFonts w:hint="default" w:hAnsi="Times New Roman"/>
      </w:rPr>
    </w:lvl>
    <w:lvl w:ilvl="2" w:tentative="0">
      <w:start w:val="1"/>
      <w:numFmt w:val="decimal"/>
      <w:isLgl/>
      <w:lvlText w:val="%1.%2.%3"/>
      <w:lvlJc w:val="left"/>
      <w:pPr>
        <w:tabs>
          <w:tab w:val="left" w:pos="0"/>
        </w:tabs>
        <w:ind w:left="720" w:hanging="720"/>
      </w:pPr>
      <w:rPr>
        <w:rFonts w:hint="default" w:hAnsi="Times New Roman"/>
      </w:rPr>
    </w:lvl>
    <w:lvl w:ilvl="3" w:tentative="0">
      <w:start w:val="1"/>
      <w:numFmt w:val="decimal"/>
      <w:isLgl/>
      <w:lvlText w:val="%1.%2.%3.%4"/>
      <w:lvlJc w:val="left"/>
      <w:pPr>
        <w:tabs>
          <w:tab w:val="left" w:pos="0"/>
        </w:tabs>
        <w:ind w:left="720" w:hanging="720"/>
      </w:pPr>
      <w:rPr>
        <w:rFonts w:hint="default" w:hAnsi="Times New Roman"/>
      </w:rPr>
    </w:lvl>
    <w:lvl w:ilvl="4" w:tentative="0">
      <w:start w:val="1"/>
      <w:numFmt w:val="decimal"/>
      <w:isLgl/>
      <w:lvlText w:val="%1.%2.%3.%4.%5"/>
      <w:lvlJc w:val="left"/>
      <w:pPr>
        <w:tabs>
          <w:tab w:val="left" w:pos="0"/>
        </w:tabs>
        <w:ind w:left="1080" w:hanging="1080"/>
      </w:pPr>
      <w:rPr>
        <w:rFonts w:hint="default" w:hAnsi="Times New Roman"/>
      </w:rPr>
    </w:lvl>
    <w:lvl w:ilvl="5" w:tentative="0">
      <w:start w:val="1"/>
      <w:numFmt w:val="decimal"/>
      <w:isLgl/>
      <w:lvlText w:val="%1.%2.%3.%4.%5.%6"/>
      <w:lvlJc w:val="left"/>
      <w:pPr>
        <w:tabs>
          <w:tab w:val="left" w:pos="0"/>
        </w:tabs>
        <w:ind w:left="1080" w:hanging="1080"/>
      </w:pPr>
      <w:rPr>
        <w:rFonts w:hint="default" w:hAnsi="Times New Roman"/>
      </w:rPr>
    </w:lvl>
    <w:lvl w:ilvl="6" w:tentative="0">
      <w:start w:val="1"/>
      <w:numFmt w:val="decimal"/>
      <w:isLgl/>
      <w:lvlText w:val="%1.%2.%3.%4.%5.%6.%7"/>
      <w:lvlJc w:val="left"/>
      <w:pPr>
        <w:tabs>
          <w:tab w:val="left" w:pos="0"/>
        </w:tabs>
        <w:ind w:left="1440" w:hanging="1440"/>
      </w:pPr>
      <w:rPr>
        <w:rFonts w:hint="default" w:hAnsi="Times New Roman"/>
      </w:rPr>
    </w:lvl>
    <w:lvl w:ilvl="7" w:tentative="0">
      <w:start w:val="1"/>
      <w:numFmt w:val="decimal"/>
      <w:isLgl/>
      <w:lvlText w:val="%1.%2.%3.%4.%5.%6.%7.%8"/>
      <w:lvlJc w:val="left"/>
      <w:pPr>
        <w:tabs>
          <w:tab w:val="left" w:pos="0"/>
        </w:tabs>
        <w:ind w:left="1440" w:hanging="1440"/>
      </w:pPr>
      <w:rPr>
        <w:rFonts w:hint="default" w:hAnsi="Times New Roman"/>
      </w:rPr>
    </w:lvl>
    <w:lvl w:ilvl="8" w:tentative="0">
      <w:start w:val="1"/>
      <w:numFmt w:val="decimal"/>
      <w:isLgl/>
      <w:lvlText w:val="%1.%2.%3.%4.%5.%6.%7.%8.%9"/>
      <w:lvlJc w:val="left"/>
      <w:pPr>
        <w:tabs>
          <w:tab w:val="left" w:pos="0"/>
        </w:tabs>
        <w:ind w:left="1800" w:hanging="1800"/>
      </w:pPr>
      <w:rPr>
        <w:rFonts w:hint="default" w:hAnsi="Times New Roman"/>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r2020.nhgs">
    <w15:presenceInfo w15:providerId="None" w15:userId="wangr2020.nhgs"/>
  </w15:person>
  <w15:person w15:author="安全环保处">
    <w15:presenceInfo w15:providerId="None" w15:userId="安全环保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hideSpellingErrors/>
  <w:documentProtection w:enforcement="0"/>
  <w:defaultTabStop w:val="5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3ZjU0MDQzZWYxNDdkOTE2YjFlYWQ0MGFmNzI0ZTgifQ=="/>
  </w:docVars>
  <w:rsids>
    <w:rsidRoot w:val="00F87092"/>
    <w:rsid w:val="00000003"/>
    <w:rsid w:val="000000CA"/>
    <w:rsid w:val="000005F6"/>
    <w:rsid w:val="00000A11"/>
    <w:rsid w:val="00000B18"/>
    <w:rsid w:val="00000D48"/>
    <w:rsid w:val="000013E0"/>
    <w:rsid w:val="0000146E"/>
    <w:rsid w:val="00001ECB"/>
    <w:rsid w:val="0000204D"/>
    <w:rsid w:val="00002C33"/>
    <w:rsid w:val="0000315F"/>
    <w:rsid w:val="00003617"/>
    <w:rsid w:val="00003948"/>
    <w:rsid w:val="00003B1F"/>
    <w:rsid w:val="00003B32"/>
    <w:rsid w:val="00004259"/>
    <w:rsid w:val="00004DB5"/>
    <w:rsid w:val="0000539F"/>
    <w:rsid w:val="000054D0"/>
    <w:rsid w:val="000054D6"/>
    <w:rsid w:val="000055BD"/>
    <w:rsid w:val="00005E82"/>
    <w:rsid w:val="00006038"/>
    <w:rsid w:val="000060D7"/>
    <w:rsid w:val="00006168"/>
    <w:rsid w:val="0000653F"/>
    <w:rsid w:val="00006636"/>
    <w:rsid w:val="00006BEA"/>
    <w:rsid w:val="00006E82"/>
    <w:rsid w:val="0000719B"/>
    <w:rsid w:val="00007391"/>
    <w:rsid w:val="0000764A"/>
    <w:rsid w:val="00007C9B"/>
    <w:rsid w:val="00007D15"/>
    <w:rsid w:val="00007DDC"/>
    <w:rsid w:val="00007F9E"/>
    <w:rsid w:val="00010F6F"/>
    <w:rsid w:val="00011419"/>
    <w:rsid w:val="000118C8"/>
    <w:rsid w:val="00011A90"/>
    <w:rsid w:val="000122A3"/>
    <w:rsid w:val="000126D1"/>
    <w:rsid w:val="00012A09"/>
    <w:rsid w:val="00012EAA"/>
    <w:rsid w:val="00013306"/>
    <w:rsid w:val="0001330A"/>
    <w:rsid w:val="00013E06"/>
    <w:rsid w:val="00013E25"/>
    <w:rsid w:val="00014B0A"/>
    <w:rsid w:val="00015013"/>
    <w:rsid w:val="00015518"/>
    <w:rsid w:val="00015753"/>
    <w:rsid w:val="00015853"/>
    <w:rsid w:val="00015ADA"/>
    <w:rsid w:val="00015C77"/>
    <w:rsid w:val="00015E33"/>
    <w:rsid w:val="0001688C"/>
    <w:rsid w:val="00016D05"/>
    <w:rsid w:val="0001704A"/>
    <w:rsid w:val="000175C9"/>
    <w:rsid w:val="00017A00"/>
    <w:rsid w:val="000203DB"/>
    <w:rsid w:val="000206A4"/>
    <w:rsid w:val="000209E0"/>
    <w:rsid w:val="00020A0E"/>
    <w:rsid w:val="00020A41"/>
    <w:rsid w:val="00020B34"/>
    <w:rsid w:val="00020F2E"/>
    <w:rsid w:val="000219F5"/>
    <w:rsid w:val="00021A4E"/>
    <w:rsid w:val="00021E9A"/>
    <w:rsid w:val="00021FA8"/>
    <w:rsid w:val="00022019"/>
    <w:rsid w:val="0002220E"/>
    <w:rsid w:val="000229BF"/>
    <w:rsid w:val="00022B42"/>
    <w:rsid w:val="00022BF7"/>
    <w:rsid w:val="00023494"/>
    <w:rsid w:val="00023662"/>
    <w:rsid w:val="000238F4"/>
    <w:rsid w:val="00023977"/>
    <w:rsid w:val="00023D57"/>
    <w:rsid w:val="00024021"/>
    <w:rsid w:val="0002411D"/>
    <w:rsid w:val="000243B7"/>
    <w:rsid w:val="0002443F"/>
    <w:rsid w:val="000244EC"/>
    <w:rsid w:val="00024AC2"/>
    <w:rsid w:val="00024BD2"/>
    <w:rsid w:val="00024D5F"/>
    <w:rsid w:val="00024EA2"/>
    <w:rsid w:val="00024F4E"/>
    <w:rsid w:val="000254B6"/>
    <w:rsid w:val="00025977"/>
    <w:rsid w:val="00025985"/>
    <w:rsid w:val="00026258"/>
    <w:rsid w:val="000264EC"/>
    <w:rsid w:val="00026580"/>
    <w:rsid w:val="0002658C"/>
    <w:rsid w:val="00026B82"/>
    <w:rsid w:val="00027076"/>
    <w:rsid w:val="00027543"/>
    <w:rsid w:val="0002767A"/>
    <w:rsid w:val="00027729"/>
    <w:rsid w:val="0003025B"/>
    <w:rsid w:val="00030CA7"/>
    <w:rsid w:val="00030F2A"/>
    <w:rsid w:val="00031117"/>
    <w:rsid w:val="000312D3"/>
    <w:rsid w:val="000319EB"/>
    <w:rsid w:val="0003245B"/>
    <w:rsid w:val="00032C69"/>
    <w:rsid w:val="00032D5B"/>
    <w:rsid w:val="00032E72"/>
    <w:rsid w:val="00033B8F"/>
    <w:rsid w:val="00033D24"/>
    <w:rsid w:val="000346E5"/>
    <w:rsid w:val="00034827"/>
    <w:rsid w:val="000348F7"/>
    <w:rsid w:val="00034AF5"/>
    <w:rsid w:val="00034D85"/>
    <w:rsid w:val="00034E46"/>
    <w:rsid w:val="000351F2"/>
    <w:rsid w:val="00035501"/>
    <w:rsid w:val="000359B2"/>
    <w:rsid w:val="00035A3D"/>
    <w:rsid w:val="000362A3"/>
    <w:rsid w:val="000362DD"/>
    <w:rsid w:val="000365D8"/>
    <w:rsid w:val="00036F43"/>
    <w:rsid w:val="000370F2"/>
    <w:rsid w:val="00037375"/>
    <w:rsid w:val="00037D7A"/>
    <w:rsid w:val="00037DFF"/>
    <w:rsid w:val="000400F6"/>
    <w:rsid w:val="0004044D"/>
    <w:rsid w:val="000406A5"/>
    <w:rsid w:val="00040A48"/>
    <w:rsid w:val="00040AC4"/>
    <w:rsid w:val="00040D5D"/>
    <w:rsid w:val="00040FD8"/>
    <w:rsid w:val="00041353"/>
    <w:rsid w:val="00041425"/>
    <w:rsid w:val="00041743"/>
    <w:rsid w:val="000417DB"/>
    <w:rsid w:val="000419CC"/>
    <w:rsid w:val="000419E8"/>
    <w:rsid w:val="00041DE8"/>
    <w:rsid w:val="00041FAD"/>
    <w:rsid w:val="00042728"/>
    <w:rsid w:val="000427D9"/>
    <w:rsid w:val="00042ACC"/>
    <w:rsid w:val="00042DCC"/>
    <w:rsid w:val="00042E67"/>
    <w:rsid w:val="00042EDD"/>
    <w:rsid w:val="00043908"/>
    <w:rsid w:val="00043BB8"/>
    <w:rsid w:val="00043DA0"/>
    <w:rsid w:val="00044026"/>
    <w:rsid w:val="0004407D"/>
    <w:rsid w:val="00044439"/>
    <w:rsid w:val="0004464A"/>
    <w:rsid w:val="00044B79"/>
    <w:rsid w:val="00044BB9"/>
    <w:rsid w:val="00044C0C"/>
    <w:rsid w:val="00045332"/>
    <w:rsid w:val="00045435"/>
    <w:rsid w:val="00046661"/>
    <w:rsid w:val="000466A2"/>
    <w:rsid w:val="00046704"/>
    <w:rsid w:val="00047186"/>
    <w:rsid w:val="00047346"/>
    <w:rsid w:val="0004754F"/>
    <w:rsid w:val="00050684"/>
    <w:rsid w:val="000507AA"/>
    <w:rsid w:val="000507BA"/>
    <w:rsid w:val="00050A5B"/>
    <w:rsid w:val="00050B1E"/>
    <w:rsid w:val="00050D9A"/>
    <w:rsid w:val="00051887"/>
    <w:rsid w:val="00051A4F"/>
    <w:rsid w:val="00051EBB"/>
    <w:rsid w:val="0005230B"/>
    <w:rsid w:val="000527A6"/>
    <w:rsid w:val="00052881"/>
    <w:rsid w:val="000529E0"/>
    <w:rsid w:val="00052C80"/>
    <w:rsid w:val="00052CE8"/>
    <w:rsid w:val="00052E1A"/>
    <w:rsid w:val="00053068"/>
    <w:rsid w:val="00053322"/>
    <w:rsid w:val="00053467"/>
    <w:rsid w:val="000534D0"/>
    <w:rsid w:val="000535DD"/>
    <w:rsid w:val="00053767"/>
    <w:rsid w:val="00053BB5"/>
    <w:rsid w:val="00053E81"/>
    <w:rsid w:val="0005425B"/>
    <w:rsid w:val="000545A4"/>
    <w:rsid w:val="00054645"/>
    <w:rsid w:val="000546FC"/>
    <w:rsid w:val="00054EBD"/>
    <w:rsid w:val="00055000"/>
    <w:rsid w:val="00055177"/>
    <w:rsid w:val="00055221"/>
    <w:rsid w:val="00055964"/>
    <w:rsid w:val="00055C17"/>
    <w:rsid w:val="00055C82"/>
    <w:rsid w:val="000565F4"/>
    <w:rsid w:val="00056AA9"/>
    <w:rsid w:val="00056CCC"/>
    <w:rsid w:val="00056F96"/>
    <w:rsid w:val="00056FC9"/>
    <w:rsid w:val="0005704F"/>
    <w:rsid w:val="00057405"/>
    <w:rsid w:val="0005790F"/>
    <w:rsid w:val="000579FE"/>
    <w:rsid w:val="00057A9A"/>
    <w:rsid w:val="000601AC"/>
    <w:rsid w:val="00060243"/>
    <w:rsid w:val="00060491"/>
    <w:rsid w:val="00060DC3"/>
    <w:rsid w:val="00060EFB"/>
    <w:rsid w:val="00060F93"/>
    <w:rsid w:val="0006105F"/>
    <w:rsid w:val="00061485"/>
    <w:rsid w:val="00061947"/>
    <w:rsid w:val="00061AEF"/>
    <w:rsid w:val="00061CA5"/>
    <w:rsid w:val="00061CFF"/>
    <w:rsid w:val="00061EAA"/>
    <w:rsid w:val="00061F1D"/>
    <w:rsid w:val="00061F32"/>
    <w:rsid w:val="00061F8D"/>
    <w:rsid w:val="0006246A"/>
    <w:rsid w:val="00062A50"/>
    <w:rsid w:val="00062D7E"/>
    <w:rsid w:val="0006306A"/>
    <w:rsid w:val="00063075"/>
    <w:rsid w:val="000630D0"/>
    <w:rsid w:val="00063460"/>
    <w:rsid w:val="00063C95"/>
    <w:rsid w:val="00063FAE"/>
    <w:rsid w:val="00064507"/>
    <w:rsid w:val="00064A7A"/>
    <w:rsid w:val="0006509A"/>
    <w:rsid w:val="0006527E"/>
    <w:rsid w:val="00065B81"/>
    <w:rsid w:val="00065D61"/>
    <w:rsid w:val="000665A5"/>
    <w:rsid w:val="000671B4"/>
    <w:rsid w:val="00067479"/>
    <w:rsid w:val="00067B91"/>
    <w:rsid w:val="00067CC4"/>
    <w:rsid w:val="00067E65"/>
    <w:rsid w:val="00070124"/>
    <w:rsid w:val="000703FF"/>
    <w:rsid w:val="00070612"/>
    <w:rsid w:val="000707E3"/>
    <w:rsid w:val="00070867"/>
    <w:rsid w:val="000709D2"/>
    <w:rsid w:val="00070C50"/>
    <w:rsid w:val="000710CF"/>
    <w:rsid w:val="000711BA"/>
    <w:rsid w:val="0007130D"/>
    <w:rsid w:val="00071A3D"/>
    <w:rsid w:val="00071B36"/>
    <w:rsid w:val="000722B0"/>
    <w:rsid w:val="00072508"/>
    <w:rsid w:val="0007250D"/>
    <w:rsid w:val="000726C7"/>
    <w:rsid w:val="0007292A"/>
    <w:rsid w:val="000734A1"/>
    <w:rsid w:val="0007371B"/>
    <w:rsid w:val="000737F1"/>
    <w:rsid w:val="0007403C"/>
    <w:rsid w:val="00074166"/>
    <w:rsid w:val="000749CB"/>
    <w:rsid w:val="00074C36"/>
    <w:rsid w:val="00074C6A"/>
    <w:rsid w:val="00075221"/>
    <w:rsid w:val="00075321"/>
    <w:rsid w:val="000754DB"/>
    <w:rsid w:val="000755B3"/>
    <w:rsid w:val="000758AE"/>
    <w:rsid w:val="0007650F"/>
    <w:rsid w:val="000766B1"/>
    <w:rsid w:val="00076A0E"/>
    <w:rsid w:val="00076AB5"/>
    <w:rsid w:val="00076AC0"/>
    <w:rsid w:val="00076ACC"/>
    <w:rsid w:val="00076CB5"/>
    <w:rsid w:val="00076D36"/>
    <w:rsid w:val="00076E49"/>
    <w:rsid w:val="00077389"/>
    <w:rsid w:val="00077819"/>
    <w:rsid w:val="00077864"/>
    <w:rsid w:val="00077EBF"/>
    <w:rsid w:val="00077F05"/>
    <w:rsid w:val="00077F63"/>
    <w:rsid w:val="000802DD"/>
    <w:rsid w:val="0008081F"/>
    <w:rsid w:val="00080D4B"/>
    <w:rsid w:val="00080F6A"/>
    <w:rsid w:val="00081324"/>
    <w:rsid w:val="00081A28"/>
    <w:rsid w:val="00081E28"/>
    <w:rsid w:val="000828A2"/>
    <w:rsid w:val="00082F80"/>
    <w:rsid w:val="0008311C"/>
    <w:rsid w:val="000832CF"/>
    <w:rsid w:val="0008348F"/>
    <w:rsid w:val="0008414A"/>
    <w:rsid w:val="0008427D"/>
    <w:rsid w:val="0008466F"/>
    <w:rsid w:val="00084EB2"/>
    <w:rsid w:val="00085A64"/>
    <w:rsid w:val="00085D9E"/>
    <w:rsid w:val="00085F64"/>
    <w:rsid w:val="000863CE"/>
    <w:rsid w:val="000868F6"/>
    <w:rsid w:val="00086EF9"/>
    <w:rsid w:val="00087C61"/>
    <w:rsid w:val="00087D38"/>
    <w:rsid w:val="00087D40"/>
    <w:rsid w:val="00090221"/>
    <w:rsid w:val="00090464"/>
    <w:rsid w:val="000907E4"/>
    <w:rsid w:val="000909CF"/>
    <w:rsid w:val="00090A5D"/>
    <w:rsid w:val="00090C37"/>
    <w:rsid w:val="00090E46"/>
    <w:rsid w:val="00091854"/>
    <w:rsid w:val="00091F6A"/>
    <w:rsid w:val="00091FD7"/>
    <w:rsid w:val="0009209E"/>
    <w:rsid w:val="00092F29"/>
    <w:rsid w:val="000932F2"/>
    <w:rsid w:val="000933D8"/>
    <w:rsid w:val="00093B92"/>
    <w:rsid w:val="000942F8"/>
    <w:rsid w:val="00094B4F"/>
    <w:rsid w:val="00094DC0"/>
    <w:rsid w:val="00095100"/>
    <w:rsid w:val="000954CE"/>
    <w:rsid w:val="00095589"/>
    <w:rsid w:val="000955B3"/>
    <w:rsid w:val="00095C2E"/>
    <w:rsid w:val="00095E5D"/>
    <w:rsid w:val="00096679"/>
    <w:rsid w:val="00096BFB"/>
    <w:rsid w:val="00096D01"/>
    <w:rsid w:val="00096DF8"/>
    <w:rsid w:val="0009707E"/>
    <w:rsid w:val="00097185"/>
    <w:rsid w:val="000973B4"/>
    <w:rsid w:val="000974DB"/>
    <w:rsid w:val="00097608"/>
    <w:rsid w:val="0009786D"/>
    <w:rsid w:val="00097C5F"/>
    <w:rsid w:val="00097DF6"/>
    <w:rsid w:val="000A002F"/>
    <w:rsid w:val="000A05F7"/>
    <w:rsid w:val="000A08BB"/>
    <w:rsid w:val="000A0B11"/>
    <w:rsid w:val="000A1345"/>
    <w:rsid w:val="000A1522"/>
    <w:rsid w:val="000A15C5"/>
    <w:rsid w:val="000A1680"/>
    <w:rsid w:val="000A1919"/>
    <w:rsid w:val="000A1C20"/>
    <w:rsid w:val="000A1FF7"/>
    <w:rsid w:val="000A2768"/>
    <w:rsid w:val="000A277F"/>
    <w:rsid w:val="000A2A93"/>
    <w:rsid w:val="000A2AA9"/>
    <w:rsid w:val="000A2C30"/>
    <w:rsid w:val="000A3244"/>
    <w:rsid w:val="000A3432"/>
    <w:rsid w:val="000A351E"/>
    <w:rsid w:val="000A35AC"/>
    <w:rsid w:val="000A35C6"/>
    <w:rsid w:val="000A38FD"/>
    <w:rsid w:val="000A3D62"/>
    <w:rsid w:val="000A4262"/>
    <w:rsid w:val="000A44E9"/>
    <w:rsid w:val="000A47F6"/>
    <w:rsid w:val="000A486F"/>
    <w:rsid w:val="000A490F"/>
    <w:rsid w:val="000A49D0"/>
    <w:rsid w:val="000A4A98"/>
    <w:rsid w:val="000A4F11"/>
    <w:rsid w:val="000A5033"/>
    <w:rsid w:val="000A50B5"/>
    <w:rsid w:val="000A5C50"/>
    <w:rsid w:val="000A6324"/>
    <w:rsid w:val="000A6F7B"/>
    <w:rsid w:val="000A740D"/>
    <w:rsid w:val="000A783A"/>
    <w:rsid w:val="000A7CA6"/>
    <w:rsid w:val="000A7E37"/>
    <w:rsid w:val="000A7FCE"/>
    <w:rsid w:val="000B0477"/>
    <w:rsid w:val="000B068C"/>
    <w:rsid w:val="000B0733"/>
    <w:rsid w:val="000B0A87"/>
    <w:rsid w:val="000B0B79"/>
    <w:rsid w:val="000B0C38"/>
    <w:rsid w:val="000B0EF3"/>
    <w:rsid w:val="000B15EE"/>
    <w:rsid w:val="000B163C"/>
    <w:rsid w:val="000B1819"/>
    <w:rsid w:val="000B1AD7"/>
    <w:rsid w:val="000B20BB"/>
    <w:rsid w:val="000B2458"/>
    <w:rsid w:val="000B24F7"/>
    <w:rsid w:val="000B296B"/>
    <w:rsid w:val="000B2EBA"/>
    <w:rsid w:val="000B366F"/>
    <w:rsid w:val="000B4A1C"/>
    <w:rsid w:val="000B4A6E"/>
    <w:rsid w:val="000B519E"/>
    <w:rsid w:val="000B576F"/>
    <w:rsid w:val="000B5B4F"/>
    <w:rsid w:val="000B5C25"/>
    <w:rsid w:val="000B5E87"/>
    <w:rsid w:val="000B6242"/>
    <w:rsid w:val="000B6380"/>
    <w:rsid w:val="000B6881"/>
    <w:rsid w:val="000B6A83"/>
    <w:rsid w:val="000B6BDA"/>
    <w:rsid w:val="000B7297"/>
    <w:rsid w:val="000B74CF"/>
    <w:rsid w:val="000B76D8"/>
    <w:rsid w:val="000C0613"/>
    <w:rsid w:val="000C0A4D"/>
    <w:rsid w:val="000C0A65"/>
    <w:rsid w:val="000C0ADA"/>
    <w:rsid w:val="000C0B63"/>
    <w:rsid w:val="000C117C"/>
    <w:rsid w:val="000C15C3"/>
    <w:rsid w:val="000C175F"/>
    <w:rsid w:val="000C18A2"/>
    <w:rsid w:val="000C1940"/>
    <w:rsid w:val="000C2017"/>
    <w:rsid w:val="000C2340"/>
    <w:rsid w:val="000C2BCF"/>
    <w:rsid w:val="000C2E7E"/>
    <w:rsid w:val="000C327D"/>
    <w:rsid w:val="000C35C3"/>
    <w:rsid w:val="000C387E"/>
    <w:rsid w:val="000C3B6C"/>
    <w:rsid w:val="000C3D68"/>
    <w:rsid w:val="000C3DD9"/>
    <w:rsid w:val="000C3E6E"/>
    <w:rsid w:val="000C462E"/>
    <w:rsid w:val="000C4A9E"/>
    <w:rsid w:val="000C4BB1"/>
    <w:rsid w:val="000C50D2"/>
    <w:rsid w:val="000C537A"/>
    <w:rsid w:val="000C54AA"/>
    <w:rsid w:val="000C5509"/>
    <w:rsid w:val="000C566A"/>
    <w:rsid w:val="000C59BA"/>
    <w:rsid w:val="000C5DD0"/>
    <w:rsid w:val="000C68E0"/>
    <w:rsid w:val="000C7203"/>
    <w:rsid w:val="000C767E"/>
    <w:rsid w:val="000C7769"/>
    <w:rsid w:val="000C7881"/>
    <w:rsid w:val="000C7DBD"/>
    <w:rsid w:val="000C7E43"/>
    <w:rsid w:val="000D0673"/>
    <w:rsid w:val="000D0983"/>
    <w:rsid w:val="000D0C1B"/>
    <w:rsid w:val="000D117A"/>
    <w:rsid w:val="000D1335"/>
    <w:rsid w:val="000D13A5"/>
    <w:rsid w:val="000D1713"/>
    <w:rsid w:val="000D1753"/>
    <w:rsid w:val="000D1C8B"/>
    <w:rsid w:val="000D25F0"/>
    <w:rsid w:val="000D2A1D"/>
    <w:rsid w:val="000D3110"/>
    <w:rsid w:val="000D358F"/>
    <w:rsid w:val="000D359B"/>
    <w:rsid w:val="000D3834"/>
    <w:rsid w:val="000D3850"/>
    <w:rsid w:val="000D3C6E"/>
    <w:rsid w:val="000D3D79"/>
    <w:rsid w:val="000D42FF"/>
    <w:rsid w:val="000D46E8"/>
    <w:rsid w:val="000D4A1D"/>
    <w:rsid w:val="000D4B02"/>
    <w:rsid w:val="000D4D61"/>
    <w:rsid w:val="000D4E05"/>
    <w:rsid w:val="000D4E52"/>
    <w:rsid w:val="000D4F63"/>
    <w:rsid w:val="000D50B2"/>
    <w:rsid w:val="000D5117"/>
    <w:rsid w:val="000D5332"/>
    <w:rsid w:val="000D5336"/>
    <w:rsid w:val="000D5339"/>
    <w:rsid w:val="000D5455"/>
    <w:rsid w:val="000D54D7"/>
    <w:rsid w:val="000D6068"/>
    <w:rsid w:val="000D60B3"/>
    <w:rsid w:val="000D67DF"/>
    <w:rsid w:val="000D6932"/>
    <w:rsid w:val="000D6D96"/>
    <w:rsid w:val="000D703D"/>
    <w:rsid w:val="000D7214"/>
    <w:rsid w:val="000D76D2"/>
    <w:rsid w:val="000D7B3A"/>
    <w:rsid w:val="000D7CCD"/>
    <w:rsid w:val="000D7EEB"/>
    <w:rsid w:val="000E03A9"/>
    <w:rsid w:val="000E03C8"/>
    <w:rsid w:val="000E0983"/>
    <w:rsid w:val="000E0BD4"/>
    <w:rsid w:val="000E0C46"/>
    <w:rsid w:val="000E0D31"/>
    <w:rsid w:val="000E0EBE"/>
    <w:rsid w:val="000E0ED4"/>
    <w:rsid w:val="000E12C8"/>
    <w:rsid w:val="000E189A"/>
    <w:rsid w:val="000E1E20"/>
    <w:rsid w:val="000E2248"/>
    <w:rsid w:val="000E23C7"/>
    <w:rsid w:val="000E255A"/>
    <w:rsid w:val="000E262F"/>
    <w:rsid w:val="000E2734"/>
    <w:rsid w:val="000E2917"/>
    <w:rsid w:val="000E2B2A"/>
    <w:rsid w:val="000E3145"/>
    <w:rsid w:val="000E3348"/>
    <w:rsid w:val="000E3625"/>
    <w:rsid w:val="000E3D34"/>
    <w:rsid w:val="000E40FE"/>
    <w:rsid w:val="000E4415"/>
    <w:rsid w:val="000E469F"/>
    <w:rsid w:val="000E4D4C"/>
    <w:rsid w:val="000E4D71"/>
    <w:rsid w:val="000E4DCA"/>
    <w:rsid w:val="000E5156"/>
    <w:rsid w:val="000E53D7"/>
    <w:rsid w:val="000E53DB"/>
    <w:rsid w:val="000E5474"/>
    <w:rsid w:val="000E59B2"/>
    <w:rsid w:val="000E5B18"/>
    <w:rsid w:val="000E633D"/>
    <w:rsid w:val="000E692A"/>
    <w:rsid w:val="000E7159"/>
    <w:rsid w:val="000E742A"/>
    <w:rsid w:val="000E78B2"/>
    <w:rsid w:val="000E7FBD"/>
    <w:rsid w:val="000F0485"/>
    <w:rsid w:val="000F0512"/>
    <w:rsid w:val="000F09F6"/>
    <w:rsid w:val="000F0C86"/>
    <w:rsid w:val="000F0D1B"/>
    <w:rsid w:val="000F0D48"/>
    <w:rsid w:val="000F0E58"/>
    <w:rsid w:val="000F1093"/>
    <w:rsid w:val="000F1587"/>
    <w:rsid w:val="000F1EC5"/>
    <w:rsid w:val="000F1FEB"/>
    <w:rsid w:val="000F3791"/>
    <w:rsid w:val="000F3879"/>
    <w:rsid w:val="000F389A"/>
    <w:rsid w:val="000F3901"/>
    <w:rsid w:val="000F399A"/>
    <w:rsid w:val="000F39AD"/>
    <w:rsid w:val="000F3DFC"/>
    <w:rsid w:val="000F3F99"/>
    <w:rsid w:val="000F47B8"/>
    <w:rsid w:val="000F4D63"/>
    <w:rsid w:val="000F4EC1"/>
    <w:rsid w:val="000F4F0D"/>
    <w:rsid w:val="000F4F70"/>
    <w:rsid w:val="000F5180"/>
    <w:rsid w:val="000F52EA"/>
    <w:rsid w:val="000F5A74"/>
    <w:rsid w:val="000F5E8F"/>
    <w:rsid w:val="000F62ED"/>
    <w:rsid w:val="000F6AB9"/>
    <w:rsid w:val="000F6CAA"/>
    <w:rsid w:val="000F6F4E"/>
    <w:rsid w:val="000F7524"/>
    <w:rsid w:val="000F7A7F"/>
    <w:rsid w:val="000F7FB4"/>
    <w:rsid w:val="000F7FDB"/>
    <w:rsid w:val="00100407"/>
    <w:rsid w:val="00100432"/>
    <w:rsid w:val="0010046E"/>
    <w:rsid w:val="001004C1"/>
    <w:rsid w:val="00100956"/>
    <w:rsid w:val="00100A62"/>
    <w:rsid w:val="00101511"/>
    <w:rsid w:val="0010176B"/>
    <w:rsid w:val="00101B72"/>
    <w:rsid w:val="0010221D"/>
    <w:rsid w:val="001022EE"/>
    <w:rsid w:val="001024FC"/>
    <w:rsid w:val="001031CB"/>
    <w:rsid w:val="001039EE"/>
    <w:rsid w:val="00103C06"/>
    <w:rsid w:val="00103DD4"/>
    <w:rsid w:val="00104BCC"/>
    <w:rsid w:val="00104E4D"/>
    <w:rsid w:val="0010539A"/>
    <w:rsid w:val="001055A9"/>
    <w:rsid w:val="001058A1"/>
    <w:rsid w:val="001058A2"/>
    <w:rsid w:val="001062A6"/>
    <w:rsid w:val="001063CE"/>
    <w:rsid w:val="001069EC"/>
    <w:rsid w:val="00106C52"/>
    <w:rsid w:val="00106D0B"/>
    <w:rsid w:val="00106DFF"/>
    <w:rsid w:val="001079D6"/>
    <w:rsid w:val="0011007F"/>
    <w:rsid w:val="001100F0"/>
    <w:rsid w:val="001102CF"/>
    <w:rsid w:val="001104F6"/>
    <w:rsid w:val="00110530"/>
    <w:rsid w:val="00110891"/>
    <w:rsid w:val="00110892"/>
    <w:rsid w:val="00110D02"/>
    <w:rsid w:val="00110DA2"/>
    <w:rsid w:val="00111064"/>
    <w:rsid w:val="0011175B"/>
    <w:rsid w:val="001119F6"/>
    <w:rsid w:val="00111A10"/>
    <w:rsid w:val="00111E57"/>
    <w:rsid w:val="00111EE6"/>
    <w:rsid w:val="00111FB6"/>
    <w:rsid w:val="001124F7"/>
    <w:rsid w:val="001128E6"/>
    <w:rsid w:val="00112CC7"/>
    <w:rsid w:val="00112E14"/>
    <w:rsid w:val="00112F0B"/>
    <w:rsid w:val="00113424"/>
    <w:rsid w:val="00113555"/>
    <w:rsid w:val="00113777"/>
    <w:rsid w:val="00113834"/>
    <w:rsid w:val="00113BE1"/>
    <w:rsid w:val="00113CAA"/>
    <w:rsid w:val="00113DFF"/>
    <w:rsid w:val="001144A8"/>
    <w:rsid w:val="001151A0"/>
    <w:rsid w:val="00115DB9"/>
    <w:rsid w:val="00115E50"/>
    <w:rsid w:val="00116170"/>
    <w:rsid w:val="001162BE"/>
    <w:rsid w:val="001165DC"/>
    <w:rsid w:val="00116EB7"/>
    <w:rsid w:val="001170B6"/>
    <w:rsid w:val="0011730A"/>
    <w:rsid w:val="00117CFF"/>
    <w:rsid w:val="00117F9F"/>
    <w:rsid w:val="0012012C"/>
    <w:rsid w:val="0012026F"/>
    <w:rsid w:val="00120344"/>
    <w:rsid w:val="0012050E"/>
    <w:rsid w:val="0012056B"/>
    <w:rsid w:val="00120ACE"/>
    <w:rsid w:val="00120B04"/>
    <w:rsid w:val="00121020"/>
    <w:rsid w:val="00121305"/>
    <w:rsid w:val="0012189C"/>
    <w:rsid w:val="00121A08"/>
    <w:rsid w:val="00121E65"/>
    <w:rsid w:val="00121E7F"/>
    <w:rsid w:val="00122103"/>
    <w:rsid w:val="0012215E"/>
    <w:rsid w:val="00122174"/>
    <w:rsid w:val="00122204"/>
    <w:rsid w:val="001222FE"/>
    <w:rsid w:val="00122379"/>
    <w:rsid w:val="001223A3"/>
    <w:rsid w:val="00122E8A"/>
    <w:rsid w:val="00123014"/>
    <w:rsid w:val="0012336E"/>
    <w:rsid w:val="001234EA"/>
    <w:rsid w:val="00123522"/>
    <w:rsid w:val="0012377A"/>
    <w:rsid w:val="0012392D"/>
    <w:rsid w:val="00123BE2"/>
    <w:rsid w:val="00124535"/>
    <w:rsid w:val="00124EB5"/>
    <w:rsid w:val="00125077"/>
    <w:rsid w:val="0012563C"/>
    <w:rsid w:val="00125E53"/>
    <w:rsid w:val="00126415"/>
    <w:rsid w:val="00126462"/>
    <w:rsid w:val="001268D1"/>
    <w:rsid w:val="00127E33"/>
    <w:rsid w:val="00130AD1"/>
    <w:rsid w:val="00130FF0"/>
    <w:rsid w:val="001311D1"/>
    <w:rsid w:val="00131258"/>
    <w:rsid w:val="0013172F"/>
    <w:rsid w:val="00131FD8"/>
    <w:rsid w:val="00132177"/>
    <w:rsid w:val="00132218"/>
    <w:rsid w:val="00132365"/>
    <w:rsid w:val="00132659"/>
    <w:rsid w:val="0013268E"/>
    <w:rsid w:val="00133274"/>
    <w:rsid w:val="00133448"/>
    <w:rsid w:val="00133A1F"/>
    <w:rsid w:val="00133C26"/>
    <w:rsid w:val="001340FD"/>
    <w:rsid w:val="001343CA"/>
    <w:rsid w:val="00135127"/>
    <w:rsid w:val="0013570E"/>
    <w:rsid w:val="001358C5"/>
    <w:rsid w:val="00135FB3"/>
    <w:rsid w:val="00136091"/>
    <w:rsid w:val="00136178"/>
    <w:rsid w:val="0013687E"/>
    <w:rsid w:val="00136AA7"/>
    <w:rsid w:val="00136EBE"/>
    <w:rsid w:val="001375B6"/>
    <w:rsid w:val="001378D6"/>
    <w:rsid w:val="00137A21"/>
    <w:rsid w:val="00137B5E"/>
    <w:rsid w:val="00137C8D"/>
    <w:rsid w:val="00137C9E"/>
    <w:rsid w:val="00137FB7"/>
    <w:rsid w:val="001401EE"/>
    <w:rsid w:val="001408C7"/>
    <w:rsid w:val="001415AB"/>
    <w:rsid w:val="00141833"/>
    <w:rsid w:val="00141996"/>
    <w:rsid w:val="00141ECA"/>
    <w:rsid w:val="001421E2"/>
    <w:rsid w:val="001422D4"/>
    <w:rsid w:val="00142ADF"/>
    <w:rsid w:val="00142B38"/>
    <w:rsid w:val="00142B5D"/>
    <w:rsid w:val="00143203"/>
    <w:rsid w:val="00143204"/>
    <w:rsid w:val="00143240"/>
    <w:rsid w:val="00143241"/>
    <w:rsid w:val="00143825"/>
    <w:rsid w:val="001439E4"/>
    <w:rsid w:val="00144214"/>
    <w:rsid w:val="00144A19"/>
    <w:rsid w:val="00144F2E"/>
    <w:rsid w:val="001452B8"/>
    <w:rsid w:val="001452E9"/>
    <w:rsid w:val="00145FA2"/>
    <w:rsid w:val="0014607A"/>
    <w:rsid w:val="001466AD"/>
    <w:rsid w:val="001466F6"/>
    <w:rsid w:val="00146C6B"/>
    <w:rsid w:val="0014731E"/>
    <w:rsid w:val="0014766A"/>
    <w:rsid w:val="001477F3"/>
    <w:rsid w:val="00147936"/>
    <w:rsid w:val="00147B59"/>
    <w:rsid w:val="00147C62"/>
    <w:rsid w:val="00147E7F"/>
    <w:rsid w:val="00147FC0"/>
    <w:rsid w:val="001500C2"/>
    <w:rsid w:val="00150293"/>
    <w:rsid w:val="001502D9"/>
    <w:rsid w:val="0015030A"/>
    <w:rsid w:val="0015070A"/>
    <w:rsid w:val="00150890"/>
    <w:rsid w:val="00150BCC"/>
    <w:rsid w:val="00151103"/>
    <w:rsid w:val="00151382"/>
    <w:rsid w:val="00151DC8"/>
    <w:rsid w:val="001520B4"/>
    <w:rsid w:val="001521B5"/>
    <w:rsid w:val="001525F1"/>
    <w:rsid w:val="001529C5"/>
    <w:rsid w:val="001529FE"/>
    <w:rsid w:val="00152D01"/>
    <w:rsid w:val="00152E2E"/>
    <w:rsid w:val="00152FA5"/>
    <w:rsid w:val="001530FC"/>
    <w:rsid w:val="0015313F"/>
    <w:rsid w:val="0015338A"/>
    <w:rsid w:val="0015386F"/>
    <w:rsid w:val="001538C3"/>
    <w:rsid w:val="00153B14"/>
    <w:rsid w:val="00153B61"/>
    <w:rsid w:val="0015422E"/>
    <w:rsid w:val="0015423C"/>
    <w:rsid w:val="001545AB"/>
    <w:rsid w:val="001545B1"/>
    <w:rsid w:val="00154A0D"/>
    <w:rsid w:val="00154A96"/>
    <w:rsid w:val="00155640"/>
    <w:rsid w:val="001556C3"/>
    <w:rsid w:val="00155C80"/>
    <w:rsid w:val="00155CE7"/>
    <w:rsid w:val="00155E33"/>
    <w:rsid w:val="001560D8"/>
    <w:rsid w:val="00156212"/>
    <w:rsid w:val="00156375"/>
    <w:rsid w:val="001563BA"/>
    <w:rsid w:val="00156614"/>
    <w:rsid w:val="001573DF"/>
    <w:rsid w:val="001601E4"/>
    <w:rsid w:val="0016076D"/>
    <w:rsid w:val="001607DE"/>
    <w:rsid w:val="001607E9"/>
    <w:rsid w:val="001609E1"/>
    <w:rsid w:val="00160BA4"/>
    <w:rsid w:val="0016169A"/>
    <w:rsid w:val="0016169C"/>
    <w:rsid w:val="00161A52"/>
    <w:rsid w:val="00161BBA"/>
    <w:rsid w:val="00162058"/>
    <w:rsid w:val="00162138"/>
    <w:rsid w:val="00162143"/>
    <w:rsid w:val="001621BB"/>
    <w:rsid w:val="00162845"/>
    <w:rsid w:val="0016291D"/>
    <w:rsid w:val="0016299F"/>
    <w:rsid w:val="001633B2"/>
    <w:rsid w:val="00163B07"/>
    <w:rsid w:val="00163B74"/>
    <w:rsid w:val="00163D60"/>
    <w:rsid w:val="00164449"/>
    <w:rsid w:val="0016446E"/>
    <w:rsid w:val="001644C1"/>
    <w:rsid w:val="001647E3"/>
    <w:rsid w:val="001649CB"/>
    <w:rsid w:val="00164B2C"/>
    <w:rsid w:val="00164DFF"/>
    <w:rsid w:val="0016500C"/>
    <w:rsid w:val="00165A04"/>
    <w:rsid w:val="00165CA5"/>
    <w:rsid w:val="00166088"/>
    <w:rsid w:val="0016614D"/>
    <w:rsid w:val="00166A85"/>
    <w:rsid w:val="00166D52"/>
    <w:rsid w:val="0016718E"/>
    <w:rsid w:val="0016737D"/>
    <w:rsid w:val="001678DE"/>
    <w:rsid w:val="001679C9"/>
    <w:rsid w:val="00167ACA"/>
    <w:rsid w:val="00167C1B"/>
    <w:rsid w:val="00167F26"/>
    <w:rsid w:val="001701BF"/>
    <w:rsid w:val="0017037D"/>
    <w:rsid w:val="00170B51"/>
    <w:rsid w:val="00170D23"/>
    <w:rsid w:val="00170ED2"/>
    <w:rsid w:val="0017120E"/>
    <w:rsid w:val="00171730"/>
    <w:rsid w:val="00171816"/>
    <w:rsid w:val="00171941"/>
    <w:rsid w:val="0017201B"/>
    <w:rsid w:val="0017209E"/>
    <w:rsid w:val="00172292"/>
    <w:rsid w:val="001722A9"/>
    <w:rsid w:val="00172331"/>
    <w:rsid w:val="0017267E"/>
    <w:rsid w:val="0017274D"/>
    <w:rsid w:val="00173054"/>
    <w:rsid w:val="001735BE"/>
    <w:rsid w:val="001735C2"/>
    <w:rsid w:val="0017373F"/>
    <w:rsid w:val="001737E4"/>
    <w:rsid w:val="001738C6"/>
    <w:rsid w:val="00173912"/>
    <w:rsid w:val="00173A9B"/>
    <w:rsid w:val="00173BD5"/>
    <w:rsid w:val="00173C1E"/>
    <w:rsid w:val="001745DA"/>
    <w:rsid w:val="0017462A"/>
    <w:rsid w:val="00174C63"/>
    <w:rsid w:val="00174CD0"/>
    <w:rsid w:val="00175354"/>
    <w:rsid w:val="0017568D"/>
    <w:rsid w:val="00175997"/>
    <w:rsid w:val="001759E1"/>
    <w:rsid w:val="00175DAE"/>
    <w:rsid w:val="001760B8"/>
    <w:rsid w:val="001761AF"/>
    <w:rsid w:val="0017620E"/>
    <w:rsid w:val="00176681"/>
    <w:rsid w:val="00176B98"/>
    <w:rsid w:val="00176DB3"/>
    <w:rsid w:val="00176DBB"/>
    <w:rsid w:val="00176EAA"/>
    <w:rsid w:val="001770A6"/>
    <w:rsid w:val="0017764F"/>
    <w:rsid w:val="001779B9"/>
    <w:rsid w:val="00177C6D"/>
    <w:rsid w:val="001803A3"/>
    <w:rsid w:val="00180463"/>
    <w:rsid w:val="001809FA"/>
    <w:rsid w:val="00180D30"/>
    <w:rsid w:val="00181876"/>
    <w:rsid w:val="00182112"/>
    <w:rsid w:val="001821E8"/>
    <w:rsid w:val="0018225D"/>
    <w:rsid w:val="00182408"/>
    <w:rsid w:val="00182DE7"/>
    <w:rsid w:val="00182DF0"/>
    <w:rsid w:val="00182FE9"/>
    <w:rsid w:val="0018316A"/>
    <w:rsid w:val="00183955"/>
    <w:rsid w:val="00183B48"/>
    <w:rsid w:val="00184127"/>
    <w:rsid w:val="001844F1"/>
    <w:rsid w:val="00184564"/>
    <w:rsid w:val="0018493E"/>
    <w:rsid w:val="00184AE0"/>
    <w:rsid w:val="00184D1A"/>
    <w:rsid w:val="00184ECB"/>
    <w:rsid w:val="00184F15"/>
    <w:rsid w:val="00185048"/>
    <w:rsid w:val="001851B1"/>
    <w:rsid w:val="00185762"/>
    <w:rsid w:val="0018578B"/>
    <w:rsid w:val="00185865"/>
    <w:rsid w:val="001858EB"/>
    <w:rsid w:val="00185AED"/>
    <w:rsid w:val="00185D28"/>
    <w:rsid w:val="00186233"/>
    <w:rsid w:val="0018676F"/>
    <w:rsid w:val="00186B9E"/>
    <w:rsid w:val="00186E7C"/>
    <w:rsid w:val="00187305"/>
    <w:rsid w:val="00187630"/>
    <w:rsid w:val="001876E6"/>
    <w:rsid w:val="0018781B"/>
    <w:rsid w:val="001878BB"/>
    <w:rsid w:val="00187AE1"/>
    <w:rsid w:val="0019054F"/>
    <w:rsid w:val="001909F0"/>
    <w:rsid w:val="00190B8A"/>
    <w:rsid w:val="00191170"/>
    <w:rsid w:val="001913B2"/>
    <w:rsid w:val="0019144E"/>
    <w:rsid w:val="001914ED"/>
    <w:rsid w:val="00191640"/>
    <w:rsid w:val="00191C00"/>
    <w:rsid w:val="00191D0B"/>
    <w:rsid w:val="00192068"/>
    <w:rsid w:val="0019228D"/>
    <w:rsid w:val="0019270B"/>
    <w:rsid w:val="00192924"/>
    <w:rsid w:val="00192A1E"/>
    <w:rsid w:val="00192A3A"/>
    <w:rsid w:val="00192C2D"/>
    <w:rsid w:val="00192F81"/>
    <w:rsid w:val="001932E4"/>
    <w:rsid w:val="00193644"/>
    <w:rsid w:val="00193660"/>
    <w:rsid w:val="00193753"/>
    <w:rsid w:val="0019379E"/>
    <w:rsid w:val="00193B99"/>
    <w:rsid w:val="00193B9D"/>
    <w:rsid w:val="00193F88"/>
    <w:rsid w:val="00194448"/>
    <w:rsid w:val="00195A00"/>
    <w:rsid w:val="00195C37"/>
    <w:rsid w:val="00195CC4"/>
    <w:rsid w:val="001960D2"/>
    <w:rsid w:val="001961CE"/>
    <w:rsid w:val="00196288"/>
    <w:rsid w:val="00196526"/>
    <w:rsid w:val="001965E8"/>
    <w:rsid w:val="00196C64"/>
    <w:rsid w:val="001970B5"/>
    <w:rsid w:val="00197900"/>
    <w:rsid w:val="00197A93"/>
    <w:rsid w:val="00197AF0"/>
    <w:rsid w:val="00197DEB"/>
    <w:rsid w:val="00197EEA"/>
    <w:rsid w:val="001A001A"/>
    <w:rsid w:val="001A100D"/>
    <w:rsid w:val="001A11DB"/>
    <w:rsid w:val="001A1277"/>
    <w:rsid w:val="001A151E"/>
    <w:rsid w:val="001A16C0"/>
    <w:rsid w:val="001A175A"/>
    <w:rsid w:val="001A1BF5"/>
    <w:rsid w:val="001A2013"/>
    <w:rsid w:val="001A2125"/>
    <w:rsid w:val="001A2328"/>
    <w:rsid w:val="001A239B"/>
    <w:rsid w:val="001A2541"/>
    <w:rsid w:val="001A27ED"/>
    <w:rsid w:val="001A28C2"/>
    <w:rsid w:val="001A2B36"/>
    <w:rsid w:val="001A3684"/>
    <w:rsid w:val="001A3686"/>
    <w:rsid w:val="001A3A71"/>
    <w:rsid w:val="001A3ADC"/>
    <w:rsid w:val="001A3B2E"/>
    <w:rsid w:val="001A4137"/>
    <w:rsid w:val="001A4192"/>
    <w:rsid w:val="001A429E"/>
    <w:rsid w:val="001A4575"/>
    <w:rsid w:val="001A49E1"/>
    <w:rsid w:val="001A4BAC"/>
    <w:rsid w:val="001A4EF9"/>
    <w:rsid w:val="001A538B"/>
    <w:rsid w:val="001A564B"/>
    <w:rsid w:val="001A565D"/>
    <w:rsid w:val="001A57E1"/>
    <w:rsid w:val="001A5882"/>
    <w:rsid w:val="001A6098"/>
    <w:rsid w:val="001A617A"/>
    <w:rsid w:val="001A6CEA"/>
    <w:rsid w:val="001A7994"/>
    <w:rsid w:val="001A7AB1"/>
    <w:rsid w:val="001A7FFA"/>
    <w:rsid w:val="001B036B"/>
    <w:rsid w:val="001B065D"/>
    <w:rsid w:val="001B0982"/>
    <w:rsid w:val="001B0A2A"/>
    <w:rsid w:val="001B0BE7"/>
    <w:rsid w:val="001B0CCE"/>
    <w:rsid w:val="001B0EF1"/>
    <w:rsid w:val="001B1117"/>
    <w:rsid w:val="001B1244"/>
    <w:rsid w:val="001B1722"/>
    <w:rsid w:val="001B1C2F"/>
    <w:rsid w:val="001B1E83"/>
    <w:rsid w:val="001B2508"/>
    <w:rsid w:val="001B3A27"/>
    <w:rsid w:val="001B415B"/>
    <w:rsid w:val="001B4256"/>
    <w:rsid w:val="001B4367"/>
    <w:rsid w:val="001B4902"/>
    <w:rsid w:val="001B4A40"/>
    <w:rsid w:val="001B4D5B"/>
    <w:rsid w:val="001B4DCF"/>
    <w:rsid w:val="001B4E99"/>
    <w:rsid w:val="001B502A"/>
    <w:rsid w:val="001B5991"/>
    <w:rsid w:val="001B5B1A"/>
    <w:rsid w:val="001B5DB5"/>
    <w:rsid w:val="001B60A3"/>
    <w:rsid w:val="001B67DE"/>
    <w:rsid w:val="001B69B1"/>
    <w:rsid w:val="001B7319"/>
    <w:rsid w:val="001B7554"/>
    <w:rsid w:val="001B7946"/>
    <w:rsid w:val="001B79FB"/>
    <w:rsid w:val="001B7BA4"/>
    <w:rsid w:val="001C00E9"/>
    <w:rsid w:val="001C0CB9"/>
    <w:rsid w:val="001C0D62"/>
    <w:rsid w:val="001C0E00"/>
    <w:rsid w:val="001C120F"/>
    <w:rsid w:val="001C138A"/>
    <w:rsid w:val="001C1735"/>
    <w:rsid w:val="001C19B7"/>
    <w:rsid w:val="001C1F61"/>
    <w:rsid w:val="001C2078"/>
    <w:rsid w:val="001C2152"/>
    <w:rsid w:val="001C221C"/>
    <w:rsid w:val="001C2414"/>
    <w:rsid w:val="001C24EA"/>
    <w:rsid w:val="001C2C52"/>
    <w:rsid w:val="001C31B8"/>
    <w:rsid w:val="001C3569"/>
    <w:rsid w:val="001C36D6"/>
    <w:rsid w:val="001C37C8"/>
    <w:rsid w:val="001C393E"/>
    <w:rsid w:val="001C3C46"/>
    <w:rsid w:val="001C3E96"/>
    <w:rsid w:val="001C4433"/>
    <w:rsid w:val="001C484E"/>
    <w:rsid w:val="001C4958"/>
    <w:rsid w:val="001C4CA2"/>
    <w:rsid w:val="001C4DA9"/>
    <w:rsid w:val="001C510A"/>
    <w:rsid w:val="001C5201"/>
    <w:rsid w:val="001C53DC"/>
    <w:rsid w:val="001C549C"/>
    <w:rsid w:val="001C5541"/>
    <w:rsid w:val="001C58ED"/>
    <w:rsid w:val="001C5F12"/>
    <w:rsid w:val="001C5FAD"/>
    <w:rsid w:val="001C5FB8"/>
    <w:rsid w:val="001C61E5"/>
    <w:rsid w:val="001C6217"/>
    <w:rsid w:val="001C675F"/>
    <w:rsid w:val="001C68C8"/>
    <w:rsid w:val="001C6AC8"/>
    <w:rsid w:val="001C6E95"/>
    <w:rsid w:val="001C7194"/>
    <w:rsid w:val="001C79DB"/>
    <w:rsid w:val="001C7ACC"/>
    <w:rsid w:val="001D00CA"/>
    <w:rsid w:val="001D17F4"/>
    <w:rsid w:val="001D1A8E"/>
    <w:rsid w:val="001D1B5B"/>
    <w:rsid w:val="001D1B94"/>
    <w:rsid w:val="001D1C8D"/>
    <w:rsid w:val="001D1E58"/>
    <w:rsid w:val="001D2063"/>
    <w:rsid w:val="001D2656"/>
    <w:rsid w:val="001D273B"/>
    <w:rsid w:val="001D2C15"/>
    <w:rsid w:val="001D2CFA"/>
    <w:rsid w:val="001D2DD8"/>
    <w:rsid w:val="001D2E20"/>
    <w:rsid w:val="001D3758"/>
    <w:rsid w:val="001D397E"/>
    <w:rsid w:val="001D3C0E"/>
    <w:rsid w:val="001D3C53"/>
    <w:rsid w:val="001D4074"/>
    <w:rsid w:val="001D4367"/>
    <w:rsid w:val="001D4826"/>
    <w:rsid w:val="001D49B9"/>
    <w:rsid w:val="001D5148"/>
    <w:rsid w:val="001D51DE"/>
    <w:rsid w:val="001D51E4"/>
    <w:rsid w:val="001D52ED"/>
    <w:rsid w:val="001D5481"/>
    <w:rsid w:val="001D5515"/>
    <w:rsid w:val="001D561A"/>
    <w:rsid w:val="001D641D"/>
    <w:rsid w:val="001D657D"/>
    <w:rsid w:val="001D709A"/>
    <w:rsid w:val="001D73F1"/>
    <w:rsid w:val="001D780F"/>
    <w:rsid w:val="001D7928"/>
    <w:rsid w:val="001E0074"/>
    <w:rsid w:val="001E01C7"/>
    <w:rsid w:val="001E0721"/>
    <w:rsid w:val="001E0872"/>
    <w:rsid w:val="001E096F"/>
    <w:rsid w:val="001E0AE8"/>
    <w:rsid w:val="001E0D20"/>
    <w:rsid w:val="001E0FB5"/>
    <w:rsid w:val="001E1516"/>
    <w:rsid w:val="001E166D"/>
    <w:rsid w:val="001E1CFC"/>
    <w:rsid w:val="001E2325"/>
    <w:rsid w:val="001E248F"/>
    <w:rsid w:val="001E2848"/>
    <w:rsid w:val="001E3326"/>
    <w:rsid w:val="001E35D4"/>
    <w:rsid w:val="001E3688"/>
    <w:rsid w:val="001E3C9C"/>
    <w:rsid w:val="001E3ED3"/>
    <w:rsid w:val="001E47A4"/>
    <w:rsid w:val="001E4C24"/>
    <w:rsid w:val="001E4D6E"/>
    <w:rsid w:val="001E50BA"/>
    <w:rsid w:val="001E513B"/>
    <w:rsid w:val="001E558A"/>
    <w:rsid w:val="001E55D8"/>
    <w:rsid w:val="001E5AB2"/>
    <w:rsid w:val="001E5D36"/>
    <w:rsid w:val="001E622F"/>
    <w:rsid w:val="001E62C8"/>
    <w:rsid w:val="001E6364"/>
    <w:rsid w:val="001E63BE"/>
    <w:rsid w:val="001E6464"/>
    <w:rsid w:val="001E6939"/>
    <w:rsid w:val="001E6A34"/>
    <w:rsid w:val="001E6AFE"/>
    <w:rsid w:val="001E6C6F"/>
    <w:rsid w:val="001E6C82"/>
    <w:rsid w:val="001E6E72"/>
    <w:rsid w:val="001E757A"/>
    <w:rsid w:val="001E7A46"/>
    <w:rsid w:val="001E7C05"/>
    <w:rsid w:val="001F0112"/>
    <w:rsid w:val="001F089B"/>
    <w:rsid w:val="001F0B4A"/>
    <w:rsid w:val="001F110B"/>
    <w:rsid w:val="001F1690"/>
    <w:rsid w:val="001F17F0"/>
    <w:rsid w:val="001F1DA8"/>
    <w:rsid w:val="001F1FEE"/>
    <w:rsid w:val="001F204D"/>
    <w:rsid w:val="001F2119"/>
    <w:rsid w:val="001F21C8"/>
    <w:rsid w:val="001F2622"/>
    <w:rsid w:val="001F26EA"/>
    <w:rsid w:val="001F2701"/>
    <w:rsid w:val="001F272F"/>
    <w:rsid w:val="001F28A8"/>
    <w:rsid w:val="001F29F4"/>
    <w:rsid w:val="001F2C54"/>
    <w:rsid w:val="001F2DF0"/>
    <w:rsid w:val="001F2E79"/>
    <w:rsid w:val="001F34E7"/>
    <w:rsid w:val="001F36A2"/>
    <w:rsid w:val="001F3C5D"/>
    <w:rsid w:val="001F4147"/>
    <w:rsid w:val="001F4448"/>
    <w:rsid w:val="001F4630"/>
    <w:rsid w:val="001F464B"/>
    <w:rsid w:val="001F46E7"/>
    <w:rsid w:val="001F486C"/>
    <w:rsid w:val="001F4A54"/>
    <w:rsid w:val="001F5186"/>
    <w:rsid w:val="001F632D"/>
    <w:rsid w:val="001F658C"/>
    <w:rsid w:val="001F68B7"/>
    <w:rsid w:val="001F68F7"/>
    <w:rsid w:val="001F6A22"/>
    <w:rsid w:val="001F6AAF"/>
    <w:rsid w:val="001F6EEB"/>
    <w:rsid w:val="001F73D2"/>
    <w:rsid w:val="001F754F"/>
    <w:rsid w:val="001F764C"/>
    <w:rsid w:val="001F784A"/>
    <w:rsid w:val="00200220"/>
    <w:rsid w:val="0020081C"/>
    <w:rsid w:val="00200C53"/>
    <w:rsid w:val="00201224"/>
    <w:rsid w:val="00201451"/>
    <w:rsid w:val="00201BCE"/>
    <w:rsid w:val="00201C2C"/>
    <w:rsid w:val="00201C93"/>
    <w:rsid w:val="00201E25"/>
    <w:rsid w:val="00201EF9"/>
    <w:rsid w:val="002022B6"/>
    <w:rsid w:val="002024C1"/>
    <w:rsid w:val="0020276A"/>
    <w:rsid w:val="002027C9"/>
    <w:rsid w:val="00202DAF"/>
    <w:rsid w:val="00203354"/>
    <w:rsid w:val="002037B7"/>
    <w:rsid w:val="00203858"/>
    <w:rsid w:val="002038BB"/>
    <w:rsid w:val="00203B80"/>
    <w:rsid w:val="00203C07"/>
    <w:rsid w:val="00203F1F"/>
    <w:rsid w:val="0020425A"/>
    <w:rsid w:val="002043F9"/>
    <w:rsid w:val="002044E4"/>
    <w:rsid w:val="0020535D"/>
    <w:rsid w:val="002055C4"/>
    <w:rsid w:val="0020573D"/>
    <w:rsid w:val="002058BD"/>
    <w:rsid w:val="002059BD"/>
    <w:rsid w:val="00206288"/>
    <w:rsid w:val="0020638E"/>
    <w:rsid w:val="002073B9"/>
    <w:rsid w:val="002074E0"/>
    <w:rsid w:val="0020753A"/>
    <w:rsid w:val="00207830"/>
    <w:rsid w:val="00207954"/>
    <w:rsid w:val="00207E27"/>
    <w:rsid w:val="00207EB9"/>
    <w:rsid w:val="00207F2A"/>
    <w:rsid w:val="00210443"/>
    <w:rsid w:val="00210445"/>
    <w:rsid w:val="0021050F"/>
    <w:rsid w:val="002109C7"/>
    <w:rsid w:val="002109F1"/>
    <w:rsid w:val="00210B6F"/>
    <w:rsid w:val="00210E33"/>
    <w:rsid w:val="00211032"/>
    <w:rsid w:val="002113E2"/>
    <w:rsid w:val="00211774"/>
    <w:rsid w:val="00211AAD"/>
    <w:rsid w:val="002122C9"/>
    <w:rsid w:val="00212408"/>
    <w:rsid w:val="002127F6"/>
    <w:rsid w:val="0021280F"/>
    <w:rsid w:val="00212B34"/>
    <w:rsid w:val="00212B5F"/>
    <w:rsid w:val="00212BF9"/>
    <w:rsid w:val="00212E02"/>
    <w:rsid w:val="00213698"/>
    <w:rsid w:val="002139B1"/>
    <w:rsid w:val="00213B2E"/>
    <w:rsid w:val="002143D6"/>
    <w:rsid w:val="00214665"/>
    <w:rsid w:val="00214896"/>
    <w:rsid w:val="002148DE"/>
    <w:rsid w:val="00214B1E"/>
    <w:rsid w:val="00214CD8"/>
    <w:rsid w:val="0021552D"/>
    <w:rsid w:val="002155AB"/>
    <w:rsid w:val="0021563E"/>
    <w:rsid w:val="002156A7"/>
    <w:rsid w:val="00215ABA"/>
    <w:rsid w:val="00216265"/>
    <w:rsid w:val="00216A41"/>
    <w:rsid w:val="00216A6D"/>
    <w:rsid w:val="0021729C"/>
    <w:rsid w:val="00217482"/>
    <w:rsid w:val="002178F9"/>
    <w:rsid w:val="00217969"/>
    <w:rsid w:val="00217A58"/>
    <w:rsid w:val="00217D4F"/>
    <w:rsid w:val="00220215"/>
    <w:rsid w:val="00220466"/>
    <w:rsid w:val="002204EC"/>
    <w:rsid w:val="0022096C"/>
    <w:rsid w:val="002210C9"/>
    <w:rsid w:val="0022183F"/>
    <w:rsid w:val="00221921"/>
    <w:rsid w:val="002224CF"/>
    <w:rsid w:val="00222502"/>
    <w:rsid w:val="0022254B"/>
    <w:rsid w:val="002225D6"/>
    <w:rsid w:val="002226B8"/>
    <w:rsid w:val="00222968"/>
    <w:rsid w:val="002229C0"/>
    <w:rsid w:val="00222EB9"/>
    <w:rsid w:val="0022328D"/>
    <w:rsid w:val="00223D8D"/>
    <w:rsid w:val="00224712"/>
    <w:rsid w:val="0022471E"/>
    <w:rsid w:val="002252E9"/>
    <w:rsid w:val="0022544B"/>
    <w:rsid w:val="00225A50"/>
    <w:rsid w:val="00225CFD"/>
    <w:rsid w:val="002267C5"/>
    <w:rsid w:val="00226918"/>
    <w:rsid w:val="00226B30"/>
    <w:rsid w:val="00226B97"/>
    <w:rsid w:val="00227080"/>
    <w:rsid w:val="002274F2"/>
    <w:rsid w:val="002278E0"/>
    <w:rsid w:val="002279DF"/>
    <w:rsid w:val="00227D8E"/>
    <w:rsid w:val="002303C7"/>
    <w:rsid w:val="002306D5"/>
    <w:rsid w:val="002307EC"/>
    <w:rsid w:val="0023086C"/>
    <w:rsid w:val="002308CF"/>
    <w:rsid w:val="00230CB7"/>
    <w:rsid w:val="00230D62"/>
    <w:rsid w:val="00231156"/>
    <w:rsid w:val="0023152A"/>
    <w:rsid w:val="00231601"/>
    <w:rsid w:val="00231C1A"/>
    <w:rsid w:val="00231CC7"/>
    <w:rsid w:val="00231F13"/>
    <w:rsid w:val="00232353"/>
    <w:rsid w:val="00232359"/>
    <w:rsid w:val="0023243B"/>
    <w:rsid w:val="00233228"/>
    <w:rsid w:val="00233289"/>
    <w:rsid w:val="0023350C"/>
    <w:rsid w:val="002349F0"/>
    <w:rsid w:val="00234B2B"/>
    <w:rsid w:val="00234F40"/>
    <w:rsid w:val="0023501B"/>
    <w:rsid w:val="0023511D"/>
    <w:rsid w:val="0023530C"/>
    <w:rsid w:val="00235C15"/>
    <w:rsid w:val="00235C40"/>
    <w:rsid w:val="00235F5B"/>
    <w:rsid w:val="00236499"/>
    <w:rsid w:val="002367B6"/>
    <w:rsid w:val="002367CF"/>
    <w:rsid w:val="00236CAB"/>
    <w:rsid w:val="00236CD1"/>
    <w:rsid w:val="0023787C"/>
    <w:rsid w:val="002378D6"/>
    <w:rsid w:val="00237D9D"/>
    <w:rsid w:val="0024034C"/>
    <w:rsid w:val="002409AB"/>
    <w:rsid w:val="0024124C"/>
    <w:rsid w:val="0024141D"/>
    <w:rsid w:val="0024147C"/>
    <w:rsid w:val="00241822"/>
    <w:rsid w:val="00241956"/>
    <w:rsid w:val="002419FA"/>
    <w:rsid w:val="00241FA3"/>
    <w:rsid w:val="0024224F"/>
    <w:rsid w:val="00242342"/>
    <w:rsid w:val="00242573"/>
    <w:rsid w:val="00242977"/>
    <w:rsid w:val="00242A8E"/>
    <w:rsid w:val="00242D35"/>
    <w:rsid w:val="00242DA8"/>
    <w:rsid w:val="002431D3"/>
    <w:rsid w:val="002434C4"/>
    <w:rsid w:val="002435BD"/>
    <w:rsid w:val="002437B4"/>
    <w:rsid w:val="00243A8A"/>
    <w:rsid w:val="00243A8C"/>
    <w:rsid w:val="00243C62"/>
    <w:rsid w:val="0024400C"/>
    <w:rsid w:val="00244169"/>
    <w:rsid w:val="002448FF"/>
    <w:rsid w:val="00244A62"/>
    <w:rsid w:val="00244CD2"/>
    <w:rsid w:val="00244D71"/>
    <w:rsid w:val="00244F12"/>
    <w:rsid w:val="002451A5"/>
    <w:rsid w:val="0024591D"/>
    <w:rsid w:val="00245C56"/>
    <w:rsid w:val="00245C88"/>
    <w:rsid w:val="00245E95"/>
    <w:rsid w:val="00245FDD"/>
    <w:rsid w:val="00246192"/>
    <w:rsid w:val="0024690B"/>
    <w:rsid w:val="002469BB"/>
    <w:rsid w:val="00246AEA"/>
    <w:rsid w:val="00246BF9"/>
    <w:rsid w:val="002472C6"/>
    <w:rsid w:val="002476A1"/>
    <w:rsid w:val="00247D75"/>
    <w:rsid w:val="00247E4C"/>
    <w:rsid w:val="00247E8A"/>
    <w:rsid w:val="0025053C"/>
    <w:rsid w:val="002507F3"/>
    <w:rsid w:val="00250D7D"/>
    <w:rsid w:val="002510C9"/>
    <w:rsid w:val="00251350"/>
    <w:rsid w:val="00251719"/>
    <w:rsid w:val="0025189C"/>
    <w:rsid w:val="00251E61"/>
    <w:rsid w:val="0025200A"/>
    <w:rsid w:val="002521FF"/>
    <w:rsid w:val="002522A9"/>
    <w:rsid w:val="002528EB"/>
    <w:rsid w:val="00252BB6"/>
    <w:rsid w:val="0025393C"/>
    <w:rsid w:val="002541B9"/>
    <w:rsid w:val="0025457A"/>
    <w:rsid w:val="002548CA"/>
    <w:rsid w:val="00254CE3"/>
    <w:rsid w:val="00254F14"/>
    <w:rsid w:val="00254F17"/>
    <w:rsid w:val="00255338"/>
    <w:rsid w:val="00255B20"/>
    <w:rsid w:val="00255CC8"/>
    <w:rsid w:val="00255CD9"/>
    <w:rsid w:val="0025605F"/>
    <w:rsid w:val="00256C9C"/>
    <w:rsid w:val="00256E1F"/>
    <w:rsid w:val="00256E5B"/>
    <w:rsid w:val="00256EE3"/>
    <w:rsid w:val="002570B5"/>
    <w:rsid w:val="002570EE"/>
    <w:rsid w:val="002577CF"/>
    <w:rsid w:val="00257C7B"/>
    <w:rsid w:val="00257FA4"/>
    <w:rsid w:val="00260393"/>
    <w:rsid w:val="00260401"/>
    <w:rsid w:val="00260453"/>
    <w:rsid w:val="0026066A"/>
    <w:rsid w:val="002606E5"/>
    <w:rsid w:val="00260716"/>
    <w:rsid w:val="00261143"/>
    <w:rsid w:val="0026114C"/>
    <w:rsid w:val="0026118A"/>
    <w:rsid w:val="00261595"/>
    <w:rsid w:val="0026164F"/>
    <w:rsid w:val="00261693"/>
    <w:rsid w:val="00261A61"/>
    <w:rsid w:val="00261EC4"/>
    <w:rsid w:val="0026231C"/>
    <w:rsid w:val="002629CC"/>
    <w:rsid w:val="0026344B"/>
    <w:rsid w:val="00263552"/>
    <w:rsid w:val="00263B32"/>
    <w:rsid w:val="00263C4B"/>
    <w:rsid w:val="0026416D"/>
    <w:rsid w:val="00264257"/>
    <w:rsid w:val="002648D5"/>
    <w:rsid w:val="002659C6"/>
    <w:rsid w:val="00265D31"/>
    <w:rsid w:val="00265DAC"/>
    <w:rsid w:val="00265E0D"/>
    <w:rsid w:val="002664CC"/>
    <w:rsid w:val="002668C4"/>
    <w:rsid w:val="00266EE1"/>
    <w:rsid w:val="00267387"/>
    <w:rsid w:val="00267553"/>
    <w:rsid w:val="00267B6E"/>
    <w:rsid w:val="00267FD8"/>
    <w:rsid w:val="0027014F"/>
    <w:rsid w:val="0027015E"/>
    <w:rsid w:val="002701FF"/>
    <w:rsid w:val="002706B5"/>
    <w:rsid w:val="00270F1A"/>
    <w:rsid w:val="00270FDE"/>
    <w:rsid w:val="00271086"/>
    <w:rsid w:val="00271782"/>
    <w:rsid w:val="002719A0"/>
    <w:rsid w:val="00271A88"/>
    <w:rsid w:val="0027239E"/>
    <w:rsid w:val="00272505"/>
    <w:rsid w:val="00272F39"/>
    <w:rsid w:val="00273099"/>
    <w:rsid w:val="002732D1"/>
    <w:rsid w:val="00273390"/>
    <w:rsid w:val="002741EC"/>
    <w:rsid w:val="00274572"/>
    <w:rsid w:val="0027480C"/>
    <w:rsid w:val="00275B98"/>
    <w:rsid w:val="00275BC9"/>
    <w:rsid w:val="00275FBC"/>
    <w:rsid w:val="00276157"/>
    <w:rsid w:val="00276297"/>
    <w:rsid w:val="002769FD"/>
    <w:rsid w:val="00276A70"/>
    <w:rsid w:val="00276DC2"/>
    <w:rsid w:val="00276E81"/>
    <w:rsid w:val="00276ED9"/>
    <w:rsid w:val="00277492"/>
    <w:rsid w:val="0027750F"/>
    <w:rsid w:val="002775D2"/>
    <w:rsid w:val="00280202"/>
    <w:rsid w:val="00280C4A"/>
    <w:rsid w:val="00280E35"/>
    <w:rsid w:val="00280E9F"/>
    <w:rsid w:val="00281043"/>
    <w:rsid w:val="0028107E"/>
    <w:rsid w:val="0028115F"/>
    <w:rsid w:val="002813C2"/>
    <w:rsid w:val="00281521"/>
    <w:rsid w:val="0028179E"/>
    <w:rsid w:val="00281862"/>
    <w:rsid w:val="002818A1"/>
    <w:rsid w:val="00281E39"/>
    <w:rsid w:val="0028294F"/>
    <w:rsid w:val="002829BD"/>
    <w:rsid w:val="002829FB"/>
    <w:rsid w:val="0028332B"/>
    <w:rsid w:val="0028345F"/>
    <w:rsid w:val="00283709"/>
    <w:rsid w:val="00283799"/>
    <w:rsid w:val="00283B52"/>
    <w:rsid w:val="002843B5"/>
    <w:rsid w:val="002843F2"/>
    <w:rsid w:val="00284737"/>
    <w:rsid w:val="00284E25"/>
    <w:rsid w:val="00284E9A"/>
    <w:rsid w:val="0028581E"/>
    <w:rsid w:val="0028590B"/>
    <w:rsid w:val="00285935"/>
    <w:rsid w:val="00285F00"/>
    <w:rsid w:val="00285FF4"/>
    <w:rsid w:val="00286750"/>
    <w:rsid w:val="00286DC1"/>
    <w:rsid w:val="00286F13"/>
    <w:rsid w:val="00287120"/>
    <w:rsid w:val="00287178"/>
    <w:rsid w:val="002871BD"/>
    <w:rsid w:val="00287298"/>
    <w:rsid w:val="00287709"/>
    <w:rsid w:val="00287794"/>
    <w:rsid w:val="002879A5"/>
    <w:rsid w:val="002879B7"/>
    <w:rsid w:val="00287F4E"/>
    <w:rsid w:val="00290115"/>
    <w:rsid w:val="00290188"/>
    <w:rsid w:val="002902AC"/>
    <w:rsid w:val="0029077E"/>
    <w:rsid w:val="00290A34"/>
    <w:rsid w:val="00291DD4"/>
    <w:rsid w:val="00291F64"/>
    <w:rsid w:val="002922E9"/>
    <w:rsid w:val="0029244D"/>
    <w:rsid w:val="002929B6"/>
    <w:rsid w:val="002929DC"/>
    <w:rsid w:val="00292BD2"/>
    <w:rsid w:val="00292CFC"/>
    <w:rsid w:val="00292ED9"/>
    <w:rsid w:val="00293C72"/>
    <w:rsid w:val="00293EC1"/>
    <w:rsid w:val="0029405B"/>
    <w:rsid w:val="0029475C"/>
    <w:rsid w:val="0029479B"/>
    <w:rsid w:val="00294F68"/>
    <w:rsid w:val="0029539D"/>
    <w:rsid w:val="00295B73"/>
    <w:rsid w:val="00295C84"/>
    <w:rsid w:val="00295CD9"/>
    <w:rsid w:val="00295D9F"/>
    <w:rsid w:val="00295DD7"/>
    <w:rsid w:val="00295F74"/>
    <w:rsid w:val="002962A3"/>
    <w:rsid w:val="002962DF"/>
    <w:rsid w:val="00296C38"/>
    <w:rsid w:val="00296CE1"/>
    <w:rsid w:val="00296D44"/>
    <w:rsid w:val="00297697"/>
    <w:rsid w:val="00297892"/>
    <w:rsid w:val="00297E04"/>
    <w:rsid w:val="002A00AE"/>
    <w:rsid w:val="002A048A"/>
    <w:rsid w:val="002A0622"/>
    <w:rsid w:val="002A0651"/>
    <w:rsid w:val="002A0B92"/>
    <w:rsid w:val="002A0F6A"/>
    <w:rsid w:val="002A0F9C"/>
    <w:rsid w:val="002A178F"/>
    <w:rsid w:val="002A184E"/>
    <w:rsid w:val="002A1FEA"/>
    <w:rsid w:val="002A2065"/>
    <w:rsid w:val="002A227E"/>
    <w:rsid w:val="002A229C"/>
    <w:rsid w:val="002A2304"/>
    <w:rsid w:val="002A24CC"/>
    <w:rsid w:val="002A25C6"/>
    <w:rsid w:val="002A2677"/>
    <w:rsid w:val="002A2BD8"/>
    <w:rsid w:val="002A3060"/>
    <w:rsid w:val="002A3232"/>
    <w:rsid w:val="002A323F"/>
    <w:rsid w:val="002A3574"/>
    <w:rsid w:val="002A365B"/>
    <w:rsid w:val="002A37A5"/>
    <w:rsid w:val="002A3E51"/>
    <w:rsid w:val="002A3E62"/>
    <w:rsid w:val="002A3E7A"/>
    <w:rsid w:val="002A3F5E"/>
    <w:rsid w:val="002A3F72"/>
    <w:rsid w:val="002A4646"/>
    <w:rsid w:val="002A4A7F"/>
    <w:rsid w:val="002A4E89"/>
    <w:rsid w:val="002A5185"/>
    <w:rsid w:val="002A60F8"/>
    <w:rsid w:val="002A618E"/>
    <w:rsid w:val="002A61E2"/>
    <w:rsid w:val="002A62F5"/>
    <w:rsid w:val="002A6342"/>
    <w:rsid w:val="002A6523"/>
    <w:rsid w:val="002A66B3"/>
    <w:rsid w:val="002A68C7"/>
    <w:rsid w:val="002A6D5D"/>
    <w:rsid w:val="002A72EF"/>
    <w:rsid w:val="002A7861"/>
    <w:rsid w:val="002A79D6"/>
    <w:rsid w:val="002A7B0D"/>
    <w:rsid w:val="002A7CE8"/>
    <w:rsid w:val="002A7D5E"/>
    <w:rsid w:val="002A7EF5"/>
    <w:rsid w:val="002B03B8"/>
    <w:rsid w:val="002B0881"/>
    <w:rsid w:val="002B0E22"/>
    <w:rsid w:val="002B1499"/>
    <w:rsid w:val="002B149D"/>
    <w:rsid w:val="002B178A"/>
    <w:rsid w:val="002B1AE2"/>
    <w:rsid w:val="002B1B78"/>
    <w:rsid w:val="002B1D28"/>
    <w:rsid w:val="002B311F"/>
    <w:rsid w:val="002B32A0"/>
    <w:rsid w:val="002B3A0C"/>
    <w:rsid w:val="002B3E9A"/>
    <w:rsid w:val="002B4021"/>
    <w:rsid w:val="002B45CE"/>
    <w:rsid w:val="002B4F34"/>
    <w:rsid w:val="002B556E"/>
    <w:rsid w:val="002B5AC3"/>
    <w:rsid w:val="002B5D2A"/>
    <w:rsid w:val="002B5FB6"/>
    <w:rsid w:val="002B6148"/>
    <w:rsid w:val="002B64B4"/>
    <w:rsid w:val="002B6524"/>
    <w:rsid w:val="002B65A6"/>
    <w:rsid w:val="002B6697"/>
    <w:rsid w:val="002B6D5A"/>
    <w:rsid w:val="002B72D9"/>
    <w:rsid w:val="002B7DB0"/>
    <w:rsid w:val="002B7F08"/>
    <w:rsid w:val="002C0C14"/>
    <w:rsid w:val="002C1065"/>
    <w:rsid w:val="002C12D8"/>
    <w:rsid w:val="002C148F"/>
    <w:rsid w:val="002C1559"/>
    <w:rsid w:val="002C17FF"/>
    <w:rsid w:val="002C1E67"/>
    <w:rsid w:val="002C2790"/>
    <w:rsid w:val="002C27CA"/>
    <w:rsid w:val="002C3745"/>
    <w:rsid w:val="002C3A3C"/>
    <w:rsid w:val="002C3D3A"/>
    <w:rsid w:val="002C3F6B"/>
    <w:rsid w:val="002C40BC"/>
    <w:rsid w:val="002C40CB"/>
    <w:rsid w:val="002C4267"/>
    <w:rsid w:val="002C4738"/>
    <w:rsid w:val="002C5181"/>
    <w:rsid w:val="002C5605"/>
    <w:rsid w:val="002C5BDD"/>
    <w:rsid w:val="002C63AA"/>
    <w:rsid w:val="002C63DC"/>
    <w:rsid w:val="002C66B2"/>
    <w:rsid w:val="002C66E4"/>
    <w:rsid w:val="002C6FF7"/>
    <w:rsid w:val="002C7008"/>
    <w:rsid w:val="002C70DD"/>
    <w:rsid w:val="002C7376"/>
    <w:rsid w:val="002C7965"/>
    <w:rsid w:val="002C79B5"/>
    <w:rsid w:val="002C7A9A"/>
    <w:rsid w:val="002D0107"/>
    <w:rsid w:val="002D02CE"/>
    <w:rsid w:val="002D0A29"/>
    <w:rsid w:val="002D0EE0"/>
    <w:rsid w:val="002D1000"/>
    <w:rsid w:val="002D113B"/>
    <w:rsid w:val="002D118B"/>
    <w:rsid w:val="002D1AA1"/>
    <w:rsid w:val="002D1ADF"/>
    <w:rsid w:val="002D1D39"/>
    <w:rsid w:val="002D1F75"/>
    <w:rsid w:val="002D2491"/>
    <w:rsid w:val="002D2671"/>
    <w:rsid w:val="002D2708"/>
    <w:rsid w:val="002D28E2"/>
    <w:rsid w:val="002D314B"/>
    <w:rsid w:val="002D3280"/>
    <w:rsid w:val="002D3343"/>
    <w:rsid w:val="002D339A"/>
    <w:rsid w:val="002D37A0"/>
    <w:rsid w:val="002D383D"/>
    <w:rsid w:val="002D3A0D"/>
    <w:rsid w:val="002D4334"/>
    <w:rsid w:val="002D4437"/>
    <w:rsid w:val="002D47EA"/>
    <w:rsid w:val="002D483E"/>
    <w:rsid w:val="002D4A08"/>
    <w:rsid w:val="002D5499"/>
    <w:rsid w:val="002D5693"/>
    <w:rsid w:val="002D5BE6"/>
    <w:rsid w:val="002D5D35"/>
    <w:rsid w:val="002D5DE4"/>
    <w:rsid w:val="002D5F52"/>
    <w:rsid w:val="002D6520"/>
    <w:rsid w:val="002D6FD9"/>
    <w:rsid w:val="002D70A6"/>
    <w:rsid w:val="002D7418"/>
    <w:rsid w:val="002D76E8"/>
    <w:rsid w:val="002D7BFF"/>
    <w:rsid w:val="002E0638"/>
    <w:rsid w:val="002E06A7"/>
    <w:rsid w:val="002E0C13"/>
    <w:rsid w:val="002E1884"/>
    <w:rsid w:val="002E1AC8"/>
    <w:rsid w:val="002E1D0B"/>
    <w:rsid w:val="002E1D19"/>
    <w:rsid w:val="002E1E93"/>
    <w:rsid w:val="002E2586"/>
    <w:rsid w:val="002E2640"/>
    <w:rsid w:val="002E27EF"/>
    <w:rsid w:val="002E2C36"/>
    <w:rsid w:val="002E2D02"/>
    <w:rsid w:val="002E2F03"/>
    <w:rsid w:val="002E2F97"/>
    <w:rsid w:val="002E3186"/>
    <w:rsid w:val="002E334E"/>
    <w:rsid w:val="002E3509"/>
    <w:rsid w:val="002E378A"/>
    <w:rsid w:val="002E37F4"/>
    <w:rsid w:val="002E3E36"/>
    <w:rsid w:val="002E42E2"/>
    <w:rsid w:val="002E4596"/>
    <w:rsid w:val="002E47E4"/>
    <w:rsid w:val="002E4BFE"/>
    <w:rsid w:val="002E522D"/>
    <w:rsid w:val="002E558E"/>
    <w:rsid w:val="002E567F"/>
    <w:rsid w:val="002E60F3"/>
    <w:rsid w:val="002E630F"/>
    <w:rsid w:val="002E65AF"/>
    <w:rsid w:val="002E65F0"/>
    <w:rsid w:val="002E6600"/>
    <w:rsid w:val="002E6BCE"/>
    <w:rsid w:val="002E7018"/>
    <w:rsid w:val="002E708D"/>
    <w:rsid w:val="002E773B"/>
    <w:rsid w:val="002E79EC"/>
    <w:rsid w:val="002E7A4E"/>
    <w:rsid w:val="002E7F53"/>
    <w:rsid w:val="002E7F58"/>
    <w:rsid w:val="002F0020"/>
    <w:rsid w:val="002F0143"/>
    <w:rsid w:val="002F0465"/>
    <w:rsid w:val="002F055E"/>
    <w:rsid w:val="002F07FD"/>
    <w:rsid w:val="002F1F92"/>
    <w:rsid w:val="002F1FA5"/>
    <w:rsid w:val="002F266C"/>
    <w:rsid w:val="002F2C2C"/>
    <w:rsid w:val="002F2F7C"/>
    <w:rsid w:val="002F33E5"/>
    <w:rsid w:val="002F353D"/>
    <w:rsid w:val="002F35CF"/>
    <w:rsid w:val="002F3618"/>
    <w:rsid w:val="002F37FC"/>
    <w:rsid w:val="002F3A53"/>
    <w:rsid w:val="002F3A80"/>
    <w:rsid w:val="002F3B50"/>
    <w:rsid w:val="002F3FCC"/>
    <w:rsid w:val="002F4280"/>
    <w:rsid w:val="002F4317"/>
    <w:rsid w:val="002F454C"/>
    <w:rsid w:val="002F45AF"/>
    <w:rsid w:val="002F47AF"/>
    <w:rsid w:val="002F484C"/>
    <w:rsid w:val="002F4892"/>
    <w:rsid w:val="002F48B2"/>
    <w:rsid w:val="002F4EC0"/>
    <w:rsid w:val="002F4FEA"/>
    <w:rsid w:val="002F5041"/>
    <w:rsid w:val="002F572F"/>
    <w:rsid w:val="002F595B"/>
    <w:rsid w:val="002F5A2C"/>
    <w:rsid w:val="002F5AAE"/>
    <w:rsid w:val="002F5EF2"/>
    <w:rsid w:val="002F61D1"/>
    <w:rsid w:val="002F642B"/>
    <w:rsid w:val="002F6559"/>
    <w:rsid w:val="002F6A87"/>
    <w:rsid w:val="002F6ADE"/>
    <w:rsid w:val="002F7019"/>
    <w:rsid w:val="002F70EB"/>
    <w:rsid w:val="002F72F0"/>
    <w:rsid w:val="002F73D1"/>
    <w:rsid w:val="002F772F"/>
    <w:rsid w:val="002F7A48"/>
    <w:rsid w:val="002F7AAE"/>
    <w:rsid w:val="002F7B9D"/>
    <w:rsid w:val="002F7DDA"/>
    <w:rsid w:val="00300345"/>
    <w:rsid w:val="0030037D"/>
    <w:rsid w:val="00300537"/>
    <w:rsid w:val="003006CA"/>
    <w:rsid w:val="00300723"/>
    <w:rsid w:val="0030077C"/>
    <w:rsid w:val="00300870"/>
    <w:rsid w:val="00301150"/>
    <w:rsid w:val="003014A8"/>
    <w:rsid w:val="003015AD"/>
    <w:rsid w:val="003019F7"/>
    <w:rsid w:val="0030223C"/>
    <w:rsid w:val="00302565"/>
    <w:rsid w:val="0030287D"/>
    <w:rsid w:val="00302C75"/>
    <w:rsid w:val="00302CB0"/>
    <w:rsid w:val="00302D88"/>
    <w:rsid w:val="00302E59"/>
    <w:rsid w:val="00303145"/>
    <w:rsid w:val="003032B1"/>
    <w:rsid w:val="0030338C"/>
    <w:rsid w:val="00303BD3"/>
    <w:rsid w:val="00303CF9"/>
    <w:rsid w:val="00303D47"/>
    <w:rsid w:val="00303EE6"/>
    <w:rsid w:val="00304358"/>
    <w:rsid w:val="00304F25"/>
    <w:rsid w:val="00304F5E"/>
    <w:rsid w:val="003050D6"/>
    <w:rsid w:val="00305739"/>
    <w:rsid w:val="003058BC"/>
    <w:rsid w:val="00305AD2"/>
    <w:rsid w:val="00305D3B"/>
    <w:rsid w:val="00306017"/>
    <w:rsid w:val="003061F3"/>
    <w:rsid w:val="0030639C"/>
    <w:rsid w:val="00306537"/>
    <w:rsid w:val="003065BF"/>
    <w:rsid w:val="00306764"/>
    <w:rsid w:val="00306E07"/>
    <w:rsid w:val="00306FD5"/>
    <w:rsid w:val="00307240"/>
    <w:rsid w:val="0030727F"/>
    <w:rsid w:val="00307ACD"/>
    <w:rsid w:val="00307B15"/>
    <w:rsid w:val="00310010"/>
    <w:rsid w:val="003104BC"/>
    <w:rsid w:val="00310591"/>
    <w:rsid w:val="00310943"/>
    <w:rsid w:val="00310A8E"/>
    <w:rsid w:val="00310AD2"/>
    <w:rsid w:val="003118AE"/>
    <w:rsid w:val="00311BCE"/>
    <w:rsid w:val="003120DA"/>
    <w:rsid w:val="003122D3"/>
    <w:rsid w:val="003125EE"/>
    <w:rsid w:val="00312833"/>
    <w:rsid w:val="00312E67"/>
    <w:rsid w:val="00312F5F"/>
    <w:rsid w:val="003130E3"/>
    <w:rsid w:val="00313494"/>
    <w:rsid w:val="003138FC"/>
    <w:rsid w:val="003139E0"/>
    <w:rsid w:val="0031402D"/>
    <w:rsid w:val="00314053"/>
    <w:rsid w:val="0031408D"/>
    <w:rsid w:val="00314A03"/>
    <w:rsid w:val="00314AC8"/>
    <w:rsid w:val="00314C9A"/>
    <w:rsid w:val="00315177"/>
    <w:rsid w:val="00315327"/>
    <w:rsid w:val="00315547"/>
    <w:rsid w:val="00315A76"/>
    <w:rsid w:val="00315DE2"/>
    <w:rsid w:val="003164C7"/>
    <w:rsid w:val="0031679F"/>
    <w:rsid w:val="00317BEF"/>
    <w:rsid w:val="00320A11"/>
    <w:rsid w:val="00320D87"/>
    <w:rsid w:val="00320FB1"/>
    <w:rsid w:val="00321051"/>
    <w:rsid w:val="0032140E"/>
    <w:rsid w:val="00321A9F"/>
    <w:rsid w:val="00321D7F"/>
    <w:rsid w:val="003221D0"/>
    <w:rsid w:val="00322445"/>
    <w:rsid w:val="003226A3"/>
    <w:rsid w:val="00322E56"/>
    <w:rsid w:val="00322EDD"/>
    <w:rsid w:val="00323108"/>
    <w:rsid w:val="00323386"/>
    <w:rsid w:val="0032343D"/>
    <w:rsid w:val="003234AE"/>
    <w:rsid w:val="0032370F"/>
    <w:rsid w:val="00323AF9"/>
    <w:rsid w:val="00323ED2"/>
    <w:rsid w:val="003242F2"/>
    <w:rsid w:val="003243E8"/>
    <w:rsid w:val="00324893"/>
    <w:rsid w:val="00324957"/>
    <w:rsid w:val="00324AA5"/>
    <w:rsid w:val="00324B67"/>
    <w:rsid w:val="00324B78"/>
    <w:rsid w:val="003250AF"/>
    <w:rsid w:val="003258B6"/>
    <w:rsid w:val="00325B56"/>
    <w:rsid w:val="00325E4E"/>
    <w:rsid w:val="003263F4"/>
    <w:rsid w:val="00326D5F"/>
    <w:rsid w:val="00326DA9"/>
    <w:rsid w:val="00326ED1"/>
    <w:rsid w:val="00326FA6"/>
    <w:rsid w:val="00326FEB"/>
    <w:rsid w:val="0032744E"/>
    <w:rsid w:val="00327805"/>
    <w:rsid w:val="003278D9"/>
    <w:rsid w:val="00327B68"/>
    <w:rsid w:val="00327F7B"/>
    <w:rsid w:val="00327FED"/>
    <w:rsid w:val="00330163"/>
    <w:rsid w:val="00330220"/>
    <w:rsid w:val="0033048E"/>
    <w:rsid w:val="00330914"/>
    <w:rsid w:val="003309BF"/>
    <w:rsid w:val="00330D3F"/>
    <w:rsid w:val="00331018"/>
    <w:rsid w:val="00331081"/>
    <w:rsid w:val="003319F7"/>
    <w:rsid w:val="00331A5D"/>
    <w:rsid w:val="00331CF6"/>
    <w:rsid w:val="00331DF9"/>
    <w:rsid w:val="00331E9A"/>
    <w:rsid w:val="003323B8"/>
    <w:rsid w:val="00332524"/>
    <w:rsid w:val="00332D0A"/>
    <w:rsid w:val="00332D92"/>
    <w:rsid w:val="00332E07"/>
    <w:rsid w:val="0033314F"/>
    <w:rsid w:val="0033340B"/>
    <w:rsid w:val="00333556"/>
    <w:rsid w:val="00333BCA"/>
    <w:rsid w:val="00333E14"/>
    <w:rsid w:val="00333F90"/>
    <w:rsid w:val="00334469"/>
    <w:rsid w:val="00334E51"/>
    <w:rsid w:val="0033520F"/>
    <w:rsid w:val="00335288"/>
    <w:rsid w:val="00335432"/>
    <w:rsid w:val="00335C66"/>
    <w:rsid w:val="00335D51"/>
    <w:rsid w:val="00335E2F"/>
    <w:rsid w:val="003368A1"/>
    <w:rsid w:val="00336A23"/>
    <w:rsid w:val="00336ACA"/>
    <w:rsid w:val="00337280"/>
    <w:rsid w:val="00337350"/>
    <w:rsid w:val="003373B5"/>
    <w:rsid w:val="0033756A"/>
    <w:rsid w:val="00337AB9"/>
    <w:rsid w:val="00337C78"/>
    <w:rsid w:val="0034026F"/>
    <w:rsid w:val="00340660"/>
    <w:rsid w:val="0034079B"/>
    <w:rsid w:val="00340C63"/>
    <w:rsid w:val="003413CD"/>
    <w:rsid w:val="003418E0"/>
    <w:rsid w:val="00341ADE"/>
    <w:rsid w:val="00341BED"/>
    <w:rsid w:val="00341D52"/>
    <w:rsid w:val="003422E1"/>
    <w:rsid w:val="00343289"/>
    <w:rsid w:val="00343D9D"/>
    <w:rsid w:val="00343DAD"/>
    <w:rsid w:val="003446CB"/>
    <w:rsid w:val="003448B7"/>
    <w:rsid w:val="00344BED"/>
    <w:rsid w:val="00344D41"/>
    <w:rsid w:val="003450B0"/>
    <w:rsid w:val="003450C4"/>
    <w:rsid w:val="00345206"/>
    <w:rsid w:val="003452C9"/>
    <w:rsid w:val="00345415"/>
    <w:rsid w:val="00345666"/>
    <w:rsid w:val="00345B67"/>
    <w:rsid w:val="003460B3"/>
    <w:rsid w:val="00346881"/>
    <w:rsid w:val="00346912"/>
    <w:rsid w:val="00346C52"/>
    <w:rsid w:val="00346CFA"/>
    <w:rsid w:val="00346D62"/>
    <w:rsid w:val="00347164"/>
    <w:rsid w:val="003472AB"/>
    <w:rsid w:val="00347348"/>
    <w:rsid w:val="00347AF6"/>
    <w:rsid w:val="00347C97"/>
    <w:rsid w:val="003503FE"/>
    <w:rsid w:val="00350542"/>
    <w:rsid w:val="00350B79"/>
    <w:rsid w:val="00350C83"/>
    <w:rsid w:val="00350D89"/>
    <w:rsid w:val="00350E3F"/>
    <w:rsid w:val="00350EED"/>
    <w:rsid w:val="003512D9"/>
    <w:rsid w:val="003513FB"/>
    <w:rsid w:val="003514D6"/>
    <w:rsid w:val="0035166A"/>
    <w:rsid w:val="00351A72"/>
    <w:rsid w:val="00351B5A"/>
    <w:rsid w:val="00351E56"/>
    <w:rsid w:val="00351E73"/>
    <w:rsid w:val="003520E5"/>
    <w:rsid w:val="0035233B"/>
    <w:rsid w:val="003528D9"/>
    <w:rsid w:val="00352A34"/>
    <w:rsid w:val="00352E4B"/>
    <w:rsid w:val="00353496"/>
    <w:rsid w:val="00353641"/>
    <w:rsid w:val="003537C3"/>
    <w:rsid w:val="00353B1A"/>
    <w:rsid w:val="00353EB5"/>
    <w:rsid w:val="00354112"/>
    <w:rsid w:val="003541C1"/>
    <w:rsid w:val="0035434B"/>
    <w:rsid w:val="0035487C"/>
    <w:rsid w:val="00354896"/>
    <w:rsid w:val="00355213"/>
    <w:rsid w:val="00355B74"/>
    <w:rsid w:val="00355DAB"/>
    <w:rsid w:val="00355E00"/>
    <w:rsid w:val="0035625E"/>
    <w:rsid w:val="003563F0"/>
    <w:rsid w:val="0035640D"/>
    <w:rsid w:val="003565F1"/>
    <w:rsid w:val="0035670E"/>
    <w:rsid w:val="00356FF8"/>
    <w:rsid w:val="003570EF"/>
    <w:rsid w:val="003572EA"/>
    <w:rsid w:val="003575FE"/>
    <w:rsid w:val="00357C4D"/>
    <w:rsid w:val="00357E60"/>
    <w:rsid w:val="003603AC"/>
    <w:rsid w:val="00360461"/>
    <w:rsid w:val="00360480"/>
    <w:rsid w:val="0036088E"/>
    <w:rsid w:val="0036095E"/>
    <w:rsid w:val="00360D6C"/>
    <w:rsid w:val="00361176"/>
    <w:rsid w:val="003617A9"/>
    <w:rsid w:val="00361898"/>
    <w:rsid w:val="00361E80"/>
    <w:rsid w:val="003623EC"/>
    <w:rsid w:val="003624A6"/>
    <w:rsid w:val="003628DF"/>
    <w:rsid w:val="00362C4E"/>
    <w:rsid w:val="0036328E"/>
    <w:rsid w:val="00363320"/>
    <w:rsid w:val="00363531"/>
    <w:rsid w:val="00363B67"/>
    <w:rsid w:val="00363B68"/>
    <w:rsid w:val="00363C91"/>
    <w:rsid w:val="00364175"/>
    <w:rsid w:val="00365287"/>
    <w:rsid w:val="00365653"/>
    <w:rsid w:val="0036566F"/>
    <w:rsid w:val="00365709"/>
    <w:rsid w:val="00365819"/>
    <w:rsid w:val="00365E0C"/>
    <w:rsid w:val="003661EB"/>
    <w:rsid w:val="003671F7"/>
    <w:rsid w:val="0036783D"/>
    <w:rsid w:val="00367841"/>
    <w:rsid w:val="00367A8F"/>
    <w:rsid w:val="00367FD4"/>
    <w:rsid w:val="003704B9"/>
    <w:rsid w:val="0037055D"/>
    <w:rsid w:val="00370F9C"/>
    <w:rsid w:val="00371179"/>
    <w:rsid w:val="003715C5"/>
    <w:rsid w:val="003717C6"/>
    <w:rsid w:val="00371F4F"/>
    <w:rsid w:val="003721E8"/>
    <w:rsid w:val="00372A1E"/>
    <w:rsid w:val="00372CC1"/>
    <w:rsid w:val="00372ED3"/>
    <w:rsid w:val="00372F44"/>
    <w:rsid w:val="003734EF"/>
    <w:rsid w:val="00373671"/>
    <w:rsid w:val="00373715"/>
    <w:rsid w:val="00373C7A"/>
    <w:rsid w:val="00373D10"/>
    <w:rsid w:val="00373D4E"/>
    <w:rsid w:val="00373F47"/>
    <w:rsid w:val="003743B5"/>
    <w:rsid w:val="0037468D"/>
    <w:rsid w:val="003746C0"/>
    <w:rsid w:val="003747DC"/>
    <w:rsid w:val="00374C92"/>
    <w:rsid w:val="00374F74"/>
    <w:rsid w:val="0037528E"/>
    <w:rsid w:val="00375E11"/>
    <w:rsid w:val="00375E78"/>
    <w:rsid w:val="00375F56"/>
    <w:rsid w:val="00376475"/>
    <w:rsid w:val="00376703"/>
    <w:rsid w:val="0037684A"/>
    <w:rsid w:val="00376865"/>
    <w:rsid w:val="00376AE9"/>
    <w:rsid w:val="00376EC3"/>
    <w:rsid w:val="00376F2B"/>
    <w:rsid w:val="0037709F"/>
    <w:rsid w:val="003774A2"/>
    <w:rsid w:val="003775E3"/>
    <w:rsid w:val="0037764C"/>
    <w:rsid w:val="00377DAA"/>
    <w:rsid w:val="0038009A"/>
    <w:rsid w:val="0038129D"/>
    <w:rsid w:val="00381850"/>
    <w:rsid w:val="003819C2"/>
    <w:rsid w:val="00381FE7"/>
    <w:rsid w:val="003820A7"/>
    <w:rsid w:val="003821F9"/>
    <w:rsid w:val="0038232A"/>
    <w:rsid w:val="00382724"/>
    <w:rsid w:val="003827C8"/>
    <w:rsid w:val="00382B2F"/>
    <w:rsid w:val="00382B72"/>
    <w:rsid w:val="00382C70"/>
    <w:rsid w:val="00382DD8"/>
    <w:rsid w:val="00382E4E"/>
    <w:rsid w:val="0038305F"/>
    <w:rsid w:val="0038325E"/>
    <w:rsid w:val="0038381A"/>
    <w:rsid w:val="00383B2A"/>
    <w:rsid w:val="00383FA0"/>
    <w:rsid w:val="00384267"/>
    <w:rsid w:val="00384936"/>
    <w:rsid w:val="00384C71"/>
    <w:rsid w:val="00384C97"/>
    <w:rsid w:val="00384EF0"/>
    <w:rsid w:val="00385384"/>
    <w:rsid w:val="00385603"/>
    <w:rsid w:val="0038578D"/>
    <w:rsid w:val="00385A21"/>
    <w:rsid w:val="00385A4D"/>
    <w:rsid w:val="00385BF8"/>
    <w:rsid w:val="00385C2A"/>
    <w:rsid w:val="00385FFB"/>
    <w:rsid w:val="003860D5"/>
    <w:rsid w:val="003862BD"/>
    <w:rsid w:val="00386C0E"/>
    <w:rsid w:val="00386C38"/>
    <w:rsid w:val="00386C67"/>
    <w:rsid w:val="00387565"/>
    <w:rsid w:val="00387742"/>
    <w:rsid w:val="00387BB8"/>
    <w:rsid w:val="00387DC8"/>
    <w:rsid w:val="00387EDF"/>
    <w:rsid w:val="00387F27"/>
    <w:rsid w:val="00390077"/>
    <w:rsid w:val="003902C2"/>
    <w:rsid w:val="003907FF"/>
    <w:rsid w:val="00390B3A"/>
    <w:rsid w:val="003917A8"/>
    <w:rsid w:val="00391C29"/>
    <w:rsid w:val="00391C54"/>
    <w:rsid w:val="00391E60"/>
    <w:rsid w:val="00391EF3"/>
    <w:rsid w:val="003920AC"/>
    <w:rsid w:val="003926B4"/>
    <w:rsid w:val="0039285D"/>
    <w:rsid w:val="00392AC6"/>
    <w:rsid w:val="00392DA1"/>
    <w:rsid w:val="00392E44"/>
    <w:rsid w:val="00393093"/>
    <w:rsid w:val="00393AB8"/>
    <w:rsid w:val="00393CAF"/>
    <w:rsid w:val="00393E90"/>
    <w:rsid w:val="003942A6"/>
    <w:rsid w:val="00394882"/>
    <w:rsid w:val="00394DA7"/>
    <w:rsid w:val="003957D8"/>
    <w:rsid w:val="00395C29"/>
    <w:rsid w:val="00395C2A"/>
    <w:rsid w:val="00395FCF"/>
    <w:rsid w:val="0039657A"/>
    <w:rsid w:val="00396599"/>
    <w:rsid w:val="003965CF"/>
    <w:rsid w:val="00396CFD"/>
    <w:rsid w:val="003973F1"/>
    <w:rsid w:val="0039772A"/>
    <w:rsid w:val="00397767"/>
    <w:rsid w:val="00397FDD"/>
    <w:rsid w:val="003A00C0"/>
    <w:rsid w:val="003A01FD"/>
    <w:rsid w:val="003A02FC"/>
    <w:rsid w:val="003A093B"/>
    <w:rsid w:val="003A0A51"/>
    <w:rsid w:val="003A0AA8"/>
    <w:rsid w:val="003A0BDA"/>
    <w:rsid w:val="003A1017"/>
    <w:rsid w:val="003A1038"/>
    <w:rsid w:val="003A1314"/>
    <w:rsid w:val="003A13E4"/>
    <w:rsid w:val="003A145A"/>
    <w:rsid w:val="003A1691"/>
    <w:rsid w:val="003A1964"/>
    <w:rsid w:val="003A1A6A"/>
    <w:rsid w:val="003A1B12"/>
    <w:rsid w:val="003A1FD3"/>
    <w:rsid w:val="003A2173"/>
    <w:rsid w:val="003A2288"/>
    <w:rsid w:val="003A238A"/>
    <w:rsid w:val="003A2698"/>
    <w:rsid w:val="003A26FB"/>
    <w:rsid w:val="003A2C58"/>
    <w:rsid w:val="003A2CF4"/>
    <w:rsid w:val="003A2FC4"/>
    <w:rsid w:val="003A34E8"/>
    <w:rsid w:val="003A3732"/>
    <w:rsid w:val="003A393E"/>
    <w:rsid w:val="003A396D"/>
    <w:rsid w:val="003A3BB1"/>
    <w:rsid w:val="003A3C58"/>
    <w:rsid w:val="003A3E12"/>
    <w:rsid w:val="003A4583"/>
    <w:rsid w:val="003A4B9A"/>
    <w:rsid w:val="003A5B1D"/>
    <w:rsid w:val="003A5E00"/>
    <w:rsid w:val="003A5EB0"/>
    <w:rsid w:val="003A5F29"/>
    <w:rsid w:val="003A65FC"/>
    <w:rsid w:val="003A66B3"/>
    <w:rsid w:val="003A673A"/>
    <w:rsid w:val="003A6A51"/>
    <w:rsid w:val="003A6F1E"/>
    <w:rsid w:val="003A6FB6"/>
    <w:rsid w:val="003A7259"/>
    <w:rsid w:val="003A77E8"/>
    <w:rsid w:val="003A7C5C"/>
    <w:rsid w:val="003A7CC0"/>
    <w:rsid w:val="003A7FEA"/>
    <w:rsid w:val="003B008E"/>
    <w:rsid w:val="003B00EB"/>
    <w:rsid w:val="003B02C7"/>
    <w:rsid w:val="003B0430"/>
    <w:rsid w:val="003B0513"/>
    <w:rsid w:val="003B0653"/>
    <w:rsid w:val="003B08DE"/>
    <w:rsid w:val="003B093F"/>
    <w:rsid w:val="003B0C4D"/>
    <w:rsid w:val="003B0E4A"/>
    <w:rsid w:val="003B0EA5"/>
    <w:rsid w:val="003B1668"/>
    <w:rsid w:val="003B1EEA"/>
    <w:rsid w:val="003B2096"/>
    <w:rsid w:val="003B221C"/>
    <w:rsid w:val="003B25E4"/>
    <w:rsid w:val="003B36CE"/>
    <w:rsid w:val="003B3AEE"/>
    <w:rsid w:val="003B3F1C"/>
    <w:rsid w:val="003B4D76"/>
    <w:rsid w:val="003B5393"/>
    <w:rsid w:val="003B5716"/>
    <w:rsid w:val="003B5D48"/>
    <w:rsid w:val="003B60B5"/>
    <w:rsid w:val="003B60DD"/>
    <w:rsid w:val="003B6525"/>
    <w:rsid w:val="003B6604"/>
    <w:rsid w:val="003B66AF"/>
    <w:rsid w:val="003B678F"/>
    <w:rsid w:val="003B68D2"/>
    <w:rsid w:val="003B6A7E"/>
    <w:rsid w:val="003B6F4C"/>
    <w:rsid w:val="003B74D9"/>
    <w:rsid w:val="003C032A"/>
    <w:rsid w:val="003C04CA"/>
    <w:rsid w:val="003C074D"/>
    <w:rsid w:val="003C0872"/>
    <w:rsid w:val="003C0AB4"/>
    <w:rsid w:val="003C0AF1"/>
    <w:rsid w:val="003C0E62"/>
    <w:rsid w:val="003C0EDC"/>
    <w:rsid w:val="003C133E"/>
    <w:rsid w:val="003C163B"/>
    <w:rsid w:val="003C16E6"/>
    <w:rsid w:val="003C190D"/>
    <w:rsid w:val="003C1ECD"/>
    <w:rsid w:val="003C1F9F"/>
    <w:rsid w:val="003C2181"/>
    <w:rsid w:val="003C235B"/>
    <w:rsid w:val="003C23A6"/>
    <w:rsid w:val="003C24EA"/>
    <w:rsid w:val="003C2C69"/>
    <w:rsid w:val="003C2DF1"/>
    <w:rsid w:val="003C2E83"/>
    <w:rsid w:val="003C38F8"/>
    <w:rsid w:val="003C39D8"/>
    <w:rsid w:val="003C39EC"/>
    <w:rsid w:val="003C3B01"/>
    <w:rsid w:val="003C3FDD"/>
    <w:rsid w:val="003C40AA"/>
    <w:rsid w:val="003C4293"/>
    <w:rsid w:val="003C453B"/>
    <w:rsid w:val="003C45DB"/>
    <w:rsid w:val="003C47CA"/>
    <w:rsid w:val="003C4B62"/>
    <w:rsid w:val="003C4E6D"/>
    <w:rsid w:val="003C4E77"/>
    <w:rsid w:val="003C527F"/>
    <w:rsid w:val="003C543B"/>
    <w:rsid w:val="003C55F3"/>
    <w:rsid w:val="003C5978"/>
    <w:rsid w:val="003C5BC3"/>
    <w:rsid w:val="003C5F7B"/>
    <w:rsid w:val="003C61E4"/>
    <w:rsid w:val="003C656A"/>
    <w:rsid w:val="003C6A42"/>
    <w:rsid w:val="003C6DC7"/>
    <w:rsid w:val="003C7039"/>
    <w:rsid w:val="003C7090"/>
    <w:rsid w:val="003C710B"/>
    <w:rsid w:val="003C7F69"/>
    <w:rsid w:val="003D07E6"/>
    <w:rsid w:val="003D0C92"/>
    <w:rsid w:val="003D131D"/>
    <w:rsid w:val="003D1638"/>
    <w:rsid w:val="003D17E4"/>
    <w:rsid w:val="003D191E"/>
    <w:rsid w:val="003D1FAC"/>
    <w:rsid w:val="003D1FBB"/>
    <w:rsid w:val="003D2AFD"/>
    <w:rsid w:val="003D2BBE"/>
    <w:rsid w:val="003D306E"/>
    <w:rsid w:val="003D362D"/>
    <w:rsid w:val="003D372E"/>
    <w:rsid w:val="003D382E"/>
    <w:rsid w:val="003D3F75"/>
    <w:rsid w:val="003D41A8"/>
    <w:rsid w:val="003D4315"/>
    <w:rsid w:val="003D44E7"/>
    <w:rsid w:val="003D4C99"/>
    <w:rsid w:val="003D4D00"/>
    <w:rsid w:val="003D501A"/>
    <w:rsid w:val="003D5129"/>
    <w:rsid w:val="003D53E0"/>
    <w:rsid w:val="003D5569"/>
    <w:rsid w:val="003D556F"/>
    <w:rsid w:val="003D56C1"/>
    <w:rsid w:val="003D5EF5"/>
    <w:rsid w:val="003D608B"/>
    <w:rsid w:val="003D613A"/>
    <w:rsid w:val="003D6183"/>
    <w:rsid w:val="003D6237"/>
    <w:rsid w:val="003D64BF"/>
    <w:rsid w:val="003D65AF"/>
    <w:rsid w:val="003D67B7"/>
    <w:rsid w:val="003D6B56"/>
    <w:rsid w:val="003D6D7F"/>
    <w:rsid w:val="003D6DF2"/>
    <w:rsid w:val="003D6E9C"/>
    <w:rsid w:val="003D7246"/>
    <w:rsid w:val="003D7517"/>
    <w:rsid w:val="003D7AE6"/>
    <w:rsid w:val="003D7E51"/>
    <w:rsid w:val="003E0133"/>
    <w:rsid w:val="003E0A72"/>
    <w:rsid w:val="003E0D62"/>
    <w:rsid w:val="003E105F"/>
    <w:rsid w:val="003E1232"/>
    <w:rsid w:val="003E1367"/>
    <w:rsid w:val="003E156C"/>
    <w:rsid w:val="003E1B53"/>
    <w:rsid w:val="003E1B9C"/>
    <w:rsid w:val="003E31FB"/>
    <w:rsid w:val="003E35D2"/>
    <w:rsid w:val="003E3BD0"/>
    <w:rsid w:val="003E4092"/>
    <w:rsid w:val="003E44BD"/>
    <w:rsid w:val="003E47B7"/>
    <w:rsid w:val="003E4D54"/>
    <w:rsid w:val="003E4E43"/>
    <w:rsid w:val="003E535B"/>
    <w:rsid w:val="003E568F"/>
    <w:rsid w:val="003E596F"/>
    <w:rsid w:val="003E5BBA"/>
    <w:rsid w:val="003E5FD9"/>
    <w:rsid w:val="003E617E"/>
    <w:rsid w:val="003E62A0"/>
    <w:rsid w:val="003E6556"/>
    <w:rsid w:val="003E6B4E"/>
    <w:rsid w:val="003E6C2C"/>
    <w:rsid w:val="003E6F0A"/>
    <w:rsid w:val="003E6F49"/>
    <w:rsid w:val="003E6F5C"/>
    <w:rsid w:val="003E7054"/>
    <w:rsid w:val="003E740B"/>
    <w:rsid w:val="003E7793"/>
    <w:rsid w:val="003E7967"/>
    <w:rsid w:val="003E7B8A"/>
    <w:rsid w:val="003F01B6"/>
    <w:rsid w:val="003F0612"/>
    <w:rsid w:val="003F0A1F"/>
    <w:rsid w:val="003F0D6D"/>
    <w:rsid w:val="003F0E09"/>
    <w:rsid w:val="003F0EA0"/>
    <w:rsid w:val="003F113A"/>
    <w:rsid w:val="003F11E5"/>
    <w:rsid w:val="003F1691"/>
    <w:rsid w:val="003F16E6"/>
    <w:rsid w:val="003F19CA"/>
    <w:rsid w:val="003F1BA1"/>
    <w:rsid w:val="003F1F1C"/>
    <w:rsid w:val="003F202C"/>
    <w:rsid w:val="003F259B"/>
    <w:rsid w:val="003F3307"/>
    <w:rsid w:val="003F3BA9"/>
    <w:rsid w:val="003F3D59"/>
    <w:rsid w:val="003F419F"/>
    <w:rsid w:val="003F4378"/>
    <w:rsid w:val="003F47A5"/>
    <w:rsid w:val="003F4812"/>
    <w:rsid w:val="003F49B1"/>
    <w:rsid w:val="003F4C7C"/>
    <w:rsid w:val="003F4E79"/>
    <w:rsid w:val="003F503D"/>
    <w:rsid w:val="003F5211"/>
    <w:rsid w:val="003F5413"/>
    <w:rsid w:val="003F57A5"/>
    <w:rsid w:val="003F5B45"/>
    <w:rsid w:val="003F64E8"/>
    <w:rsid w:val="003F68EE"/>
    <w:rsid w:val="003F7EC8"/>
    <w:rsid w:val="003F7FD8"/>
    <w:rsid w:val="00400187"/>
    <w:rsid w:val="004001C2"/>
    <w:rsid w:val="00400A41"/>
    <w:rsid w:val="00401368"/>
    <w:rsid w:val="004016F3"/>
    <w:rsid w:val="00401779"/>
    <w:rsid w:val="00401820"/>
    <w:rsid w:val="00401EA8"/>
    <w:rsid w:val="00402084"/>
    <w:rsid w:val="0040279F"/>
    <w:rsid w:val="00402C55"/>
    <w:rsid w:val="00402DDE"/>
    <w:rsid w:val="00403A44"/>
    <w:rsid w:val="00403B30"/>
    <w:rsid w:val="00403DEE"/>
    <w:rsid w:val="00404BE4"/>
    <w:rsid w:val="0040510F"/>
    <w:rsid w:val="004051F1"/>
    <w:rsid w:val="00405248"/>
    <w:rsid w:val="00405346"/>
    <w:rsid w:val="0040551D"/>
    <w:rsid w:val="00405629"/>
    <w:rsid w:val="00405AB5"/>
    <w:rsid w:val="004061BE"/>
    <w:rsid w:val="00406B19"/>
    <w:rsid w:val="00406D1B"/>
    <w:rsid w:val="00407363"/>
    <w:rsid w:val="00407411"/>
    <w:rsid w:val="00407705"/>
    <w:rsid w:val="00407D65"/>
    <w:rsid w:val="00407FAC"/>
    <w:rsid w:val="00410826"/>
    <w:rsid w:val="00410C32"/>
    <w:rsid w:val="00410C97"/>
    <w:rsid w:val="00411BA2"/>
    <w:rsid w:val="00411E22"/>
    <w:rsid w:val="00412629"/>
    <w:rsid w:val="0041272B"/>
    <w:rsid w:val="004128FD"/>
    <w:rsid w:val="00412A08"/>
    <w:rsid w:val="00412CC8"/>
    <w:rsid w:val="00412D0E"/>
    <w:rsid w:val="00412E10"/>
    <w:rsid w:val="00412F35"/>
    <w:rsid w:val="0041310C"/>
    <w:rsid w:val="0041317F"/>
    <w:rsid w:val="004132D4"/>
    <w:rsid w:val="00413AB9"/>
    <w:rsid w:val="0041406D"/>
    <w:rsid w:val="00414120"/>
    <w:rsid w:val="00414B32"/>
    <w:rsid w:val="0041511F"/>
    <w:rsid w:val="004158CC"/>
    <w:rsid w:val="00415908"/>
    <w:rsid w:val="00415953"/>
    <w:rsid w:val="00415D70"/>
    <w:rsid w:val="00415E8D"/>
    <w:rsid w:val="0041688E"/>
    <w:rsid w:val="00416DDB"/>
    <w:rsid w:val="004174F1"/>
    <w:rsid w:val="00417657"/>
    <w:rsid w:val="004176B4"/>
    <w:rsid w:val="004177CE"/>
    <w:rsid w:val="004179C6"/>
    <w:rsid w:val="00417E01"/>
    <w:rsid w:val="00417E10"/>
    <w:rsid w:val="00420422"/>
    <w:rsid w:val="0042061A"/>
    <w:rsid w:val="00420812"/>
    <w:rsid w:val="004208F5"/>
    <w:rsid w:val="00420AB7"/>
    <w:rsid w:val="00420B1E"/>
    <w:rsid w:val="00420BF4"/>
    <w:rsid w:val="004212E2"/>
    <w:rsid w:val="004213B0"/>
    <w:rsid w:val="0042177E"/>
    <w:rsid w:val="00421912"/>
    <w:rsid w:val="00421B0E"/>
    <w:rsid w:val="00421F12"/>
    <w:rsid w:val="00422065"/>
    <w:rsid w:val="0042247C"/>
    <w:rsid w:val="004225D2"/>
    <w:rsid w:val="00422613"/>
    <w:rsid w:val="00422F48"/>
    <w:rsid w:val="00423570"/>
    <w:rsid w:val="0042363D"/>
    <w:rsid w:val="004236DD"/>
    <w:rsid w:val="004239AB"/>
    <w:rsid w:val="00423A0F"/>
    <w:rsid w:val="00424111"/>
    <w:rsid w:val="004246D2"/>
    <w:rsid w:val="00424F99"/>
    <w:rsid w:val="00425052"/>
    <w:rsid w:val="004250A3"/>
    <w:rsid w:val="004254D0"/>
    <w:rsid w:val="0042570D"/>
    <w:rsid w:val="00425EA3"/>
    <w:rsid w:val="00425ED2"/>
    <w:rsid w:val="00426029"/>
    <w:rsid w:val="00426568"/>
    <w:rsid w:val="00426B78"/>
    <w:rsid w:val="00426BE8"/>
    <w:rsid w:val="00426F14"/>
    <w:rsid w:val="004270C1"/>
    <w:rsid w:val="0042712F"/>
    <w:rsid w:val="00427C2E"/>
    <w:rsid w:val="004300C2"/>
    <w:rsid w:val="00430224"/>
    <w:rsid w:val="0043066E"/>
    <w:rsid w:val="0043083B"/>
    <w:rsid w:val="004308C7"/>
    <w:rsid w:val="00430EC1"/>
    <w:rsid w:val="00430EE8"/>
    <w:rsid w:val="00431688"/>
    <w:rsid w:val="004320BD"/>
    <w:rsid w:val="0043229F"/>
    <w:rsid w:val="0043247B"/>
    <w:rsid w:val="004326D2"/>
    <w:rsid w:val="0043271B"/>
    <w:rsid w:val="004328FF"/>
    <w:rsid w:val="00432A25"/>
    <w:rsid w:val="00432A70"/>
    <w:rsid w:val="00432C11"/>
    <w:rsid w:val="004332D4"/>
    <w:rsid w:val="00433336"/>
    <w:rsid w:val="00433768"/>
    <w:rsid w:val="0043377B"/>
    <w:rsid w:val="004340AF"/>
    <w:rsid w:val="00434936"/>
    <w:rsid w:val="00434B57"/>
    <w:rsid w:val="00435757"/>
    <w:rsid w:val="00435AEE"/>
    <w:rsid w:val="00435E68"/>
    <w:rsid w:val="0043600C"/>
    <w:rsid w:val="00436368"/>
    <w:rsid w:val="0043650E"/>
    <w:rsid w:val="0043662B"/>
    <w:rsid w:val="0043685D"/>
    <w:rsid w:val="00436ECA"/>
    <w:rsid w:val="004372DA"/>
    <w:rsid w:val="00437505"/>
    <w:rsid w:val="00437660"/>
    <w:rsid w:val="00437B03"/>
    <w:rsid w:val="00437B6F"/>
    <w:rsid w:val="00437BF5"/>
    <w:rsid w:val="00437C1E"/>
    <w:rsid w:val="004401E1"/>
    <w:rsid w:val="004407E7"/>
    <w:rsid w:val="00440B04"/>
    <w:rsid w:val="00440D02"/>
    <w:rsid w:val="004416D0"/>
    <w:rsid w:val="004417A8"/>
    <w:rsid w:val="00441CC7"/>
    <w:rsid w:val="00442894"/>
    <w:rsid w:val="00442B43"/>
    <w:rsid w:val="00443103"/>
    <w:rsid w:val="004433F2"/>
    <w:rsid w:val="004436AC"/>
    <w:rsid w:val="00443953"/>
    <w:rsid w:val="00443B05"/>
    <w:rsid w:val="00443BDA"/>
    <w:rsid w:val="00443E82"/>
    <w:rsid w:val="00444993"/>
    <w:rsid w:val="00444998"/>
    <w:rsid w:val="00444D02"/>
    <w:rsid w:val="00444F26"/>
    <w:rsid w:val="00445978"/>
    <w:rsid w:val="00445B7F"/>
    <w:rsid w:val="00445CD1"/>
    <w:rsid w:val="00445FDE"/>
    <w:rsid w:val="0044620C"/>
    <w:rsid w:val="004463DC"/>
    <w:rsid w:val="00446571"/>
    <w:rsid w:val="0044659E"/>
    <w:rsid w:val="004467DE"/>
    <w:rsid w:val="004469D9"/>
    <w:rsid w:val="00446AB6"/>
    <w:rsid w:val="00446B62"/>
    <w:rsid w:val="00446F0E"/>
    <w:rsid w:val="00447212"/>
    <w:rsid w:val="00447260"/>
    <w:rsid w:val="004472B6"/>
    <w:rsid w:val="004472CE"/>
    <w:rsid w:val="004475BE"/>
    <w:rsid w:val="004479A4"/>
    <w:rsid w:val="004479A8"/>
    <w:rsid w:val="00447CC3"/>
    <w:rsid w:val="0045016E"/>
    <w:rsid w:val="0045017C"/>
    <w:rsid w:val="00450239"/>
    <w:rsid w:val="00450279"/>
    <w:rsid w:val="00450ABF"/>
    <w:rsid w:val="00450B46"/>
    <w:rsid w:val="00450C9F"/>
    <w:rsid w:val="00450DEE"/>
    <w:rsid w:val="00450E01"/>
    <w:rsid w:val="00450E69"/>
    <w:rsid w:val="004510BE"/>
    <w:rsid w:val="004512A1"/>
    <w:rsid w:val="00451539"/>
    <w:rsid w:val="00451AC5"/>
    <w:rsid w:val="00451E7C"/>
    <w:rsid w:val="00451F83"/>
    <w:rsid w:val="004523EC"/>
    <w:rsid w:val="004527CA"/>
    <w:rsid w:val="004528A6"/>
    <w:rsid w:val="004528F1"/>
    <w:rsid w:val="00452A95"/>
    <w:rsid w:val="00452D2C"/>
    <w:rsid w:val="004530FA"/>
    <w:rsid w:val="00453117"/>
    <w:rsid w:val="0045373A"/>
    <w:rsid w:val="00453C2F"/>
    <w:rsid w:val="00453C7E"/>
    <w:rsid w:val="00453FB3"/>
    <w:rsid w:val="004541FE"/>
    <w:rsid w:val="0045447E"/>
    <w:rsid w:val="0045475A"/>
    <w:rsid w:val="0045493C"/>
    <w:rsid w:val="00454FC4"/>
    <w:rsid w:val="00455150"/>
    <w:rsid w:val="004553DF"/>
    <w:rsid w:val="00455BDF"/>
    <w:rsid w:val="00455F69"/>
    <w:rsid w:val="00455F7D"/>
    <w:rsid w:val="004563EA"/>
    <w:rsid w:val="00456472"/>
    <w:rsid w:val="0045674B"/>
    <w:rsid w:val="00456D84"/>
    <w:rsid w:val="0045702E"/>
    <w:rsid w:val="00457261"/>
    <w:rsid w:val="00457292"/>
    <w:rsid w:val="00457C7E"/>
    <w:rsid w:val="00457EEF"/>
    <w:rsid w:val="00460146"/>
    <w:rsid w:val="0046027E"/>
    <w:rsid w:val="00460D32"/>
    <w:rsid w:val="00460D6B"/>
    <w:rsid w:val="00461482"/>
    <w:rsid w:val="00461B2D"/>
    <w:rsid w:val="00461F8F"/>
    <w:rsid w:val="0046207A"/>
    <w:rsid w:val="004620B1"/>
    <w:rsid w:val="0046252C"/>
    <w:rsid w:val="00462557"/>
    <w:rsid w:val="004629B3"/>
    <w:rsid w:val="004629E4"/>
    <w:rsid w:val="00462BF1"/>
    <w:rsid w:val="00462D5B"/>
    <w:rsid w:val="004635AC"/>
    <w:rsid w:val="004635D9"/>
    <w:rsid w:val="00463649"/>
    <w:rsid w:val="0046394B"/>
    <w:rsid w:val="004639C9"/>
    <w:rsid w:val="00463A39"/>
    <w:rsid w:val="00463ADF"/>
    <w:rsid w:val="00463C0A"/>
    <w:rsid w:val="00463F4F"/>
    <w:rsid w:val="004649DC"/>
    <w:rsid w:val="00464B49"/>
    <w:rsid w:val="00464B5B"/>
    <w:rsid w:val="00464B88"/>
    <w:rsid w:val="00464FE5"/>
    <w:rsid w:val="0046522C"/>
    <w:rsid w:val="00465765"/>
    <w:rsid w:val="00465990"/>
    <w:rsid w:val="00465AA0"/>
    <w:rsid w:val="00465AEE"/>
    <w:rsid w:val="00465E57"/>
    <w:rsid w:val="004667C8"/>
    <w:rsid w:val="00466814"/>
    <w:rsid w:val="0046719D"/>
    <w:rsid w:val="004674F5"/>
    <w:rsid w:val="00467BAF"/>
    <w:rsid w:val="00467BF9"/>
    <w:rsid w:val="00467D47"/>
    <w:rsid w:val="00467F13"/>
    <w:rsid w:val="004700AA"/>
    <w:rsid w:val="0047012F"/>
    <w:rsid w:val="004703AB"/>
    <w:rsid w:val="00470825"/>
    <w:rsid w:val="00470FD3"/>
    <w:rsid w:val="0047146B"/>
    <w:rsid w:val="00471790"/>
    <w:rsid w:val="0047187D"/>
    <w:rsid w:val="00472374"/>
    <w:rsid w:val="0047287D"/>
    <w:rsid w:val="00472BB4"/>
    <w:rsid w:val="0047303E"/>
    <w:rsid w:val="00473814"/>
    <w:rsid w:val="00473CAC"/>
    <w:rsid w:val="00473D01"/>
    <w:rsid w:val="00473F37"/>
    <w:rsid w:val="004740CE"/>
    <w:rsid w:val="00474599"/>
    <w:rsid w:val="004746BC"/>
    <w:rsid w:val="00474915"/>
    <w:rsid w:val="00474932"/>
    <w:rsid w:val="00474D9B"/>
    <w:rsid w:val="0047536B"/>
    <w:rsid w:val="00475534"/>
    <w:rsid w:val="00475D5E"/>
    <w:rsid w:val="00476353"/>
    <w:rsid w:val="0047655B"/>
    <w:rsid w:val="004769A5"/>
    <w:rsid w:val="00476A7C"/>
    <w:rsid w:val="00476D24"/>
    <w:rsid w:val="00476EB6"/>
    <w:rsid w:val="00477210"/>
    <w:rsid w:val="004772B8"/>
    <w:rsid w:val="004774FF"/>
    <w:rsid w:val="00477C78"/>
    <w:rsid w:val="004802E9"/>
    <w:rsid w:val="004804F6"/>
    <w:rsid w:val="00480E95"/>
    <w:rsid w:val="004810F0"/>
    <w:rsid w:val="004811BE"/>
    <w:rsid w:val="004814D3"/>
    <w:rsid w:val="0048175F"/>
    <w:rsid w:val="00481CA4"/>
    <w:rsid w:val="00481DA7"/>
    <w:rsid w:val="00481DD4"/>
    <w:rsid w:val="00481E4A"/>
    <w:rsid w:val="004821FB"/>
    <w:rsid w:val="00482726"/>
    <w:rsid w:val="00482A7C"/>
    <w:rsid w:val="00482C64"/>
    <w:rsid w:val="00482D4C"/>
    <w:rsid w:val="00482E6E"/>
    <w:rsid w:val="00483047"/>
    <w:rsid w:val="00483241"/>
    <w:rsid w:val="004832DB"/>
    <w:rsid w:val="00483C7F"/>
    <w:rsid w:val="00483FD5"/>
    <w:rsid w:val="00484454"/>
    <w:rsid w:val="004846EC"/>
    <w:rsid w:val="004848E5"/>
    <w:rsid w:val="00484A60"/>
    <w:rsid w:val="00484BAF"/>
    <w:rsid w:val="0048524D"/>
    <w:rsid w:val="00485405"/>
    <w:rsid w:val="004855E9"/>
    <w:rsid w:val="004857F3"/>
    <w:rsid w:val="004858FA"/>
    <w:rsid w:val="00485D60"/>
    <w:rsid w:val="00486006"/>
    <w:rsid w:val="004861CD"/>
    <w:rsid w:val="00486324"/>
    <w:rsid w:val="0048672D"/>
    <w:rsid w:val="00486ED1"/>
    <w:rsid w:val="004870BE"/>
    <w:rsid w:val="0048710B"/>
    <w:rsid w:val="004872F8"/>
    <w:rsid w:val="0048776F"/>
    <w:rsid w:val="00487772"/>
    <w:rsid w:val="004877B4"/>
    <w:rsid w:val="00487EA4"/>
    <w:rsid w:val="00487EDC"/>
    <w:rsid w:val="00490124"/>
    <w:rsid w:val="00490200"/>
    <w:rsid w:val="00490596"/>
    <w:rsid w:val="0049063A"/>
    <w:rsid w:val="00490704"/>
    <w:rsid w:val="00490744"/>
    <w:rsid w:val="00490C18"/>
    <w:rsid w:val="00490C6F"/>
    <w:rsid w:val="00490FA8"/>
    <w:rsid w:val="0049124C"/>
    <w:rsid w:val="00491538"/>
    <w:rsid w:val="004915EE"/>
    <w:rsid w:val="00491979"/>
    <w:rsid w:val="00491DCC"/>
    <w:rsid w:val="00491E8E"/>
    <w:rsid w:val="0049207A"/>
    <w:rsid w:val="00492309"/>
    <w:rsid w:val="00492872"/>
    <w:rsid w:val="00492883"/>
    <w:rsid w:val="00493660"/>
    <w:rsid w:val="004937AA"/>
    <w:rsid w:val="004937F6"/>
    <w:rsid w:val="004937F7"/>
    <w:rsid w:val="00493894"/>
    <w:rsid w:val="00493CCB"/>
    <w:rsid w:val="00493D03"/>
    <w:rsid w:val="00493D32"/>
    <w:rsid w:val="00494340"/>
    <w:rsid w:val="004949DC"/>
    <w:rsid w:val="00494F4B"/>
    <w:rsid w:val="004952C2"/>
    <w:rsid w:val="00495445"/>
    <w:rsid w:val="004954B1"/>
    <w:rsid w:val="004958B7"/>
    <w:rsid w:val="0049598C"/>
    <w:rsid w:val="00495B1F"/>
    <w:rsid w:val="00495BB4"/>
    <w:rsid w:val="00495C15"/>
    <w:rsid w:val="00496D1B"/>
    <w:rsid w:val="004972F9"/>
    <w:rsid w:val="00497AE4"/>
    <w:rsid w:val="00497E36"/>
    <w:rsid w:val="004A026F"/>
    <w:rsid w:val="004A0335"/>
    <w:rsid w:val="004A061E"/>
    <w:rsid w:val="004A06CA"/>
    <w:rsid w:val="004A0825"/>
    <w:rsid w:val="004A0A84"/>
    <w:rsid w:val="004A0B75"/>
    <w:rsid w:val="004A0C8F"/>
    <w:rsid w:val="004A0F51"/>
    <w:rsid w:val="004A10FF"/>
    <w:rsid w:val="004A1C55"/>
    <w:rsid w:val="004A1E7E"/>
    <w:rsid w:val="004A2215"/>
    <w:rsid w:val="004A2935"/>
    <w:rsid w:val="004A2BED"/>
    <w:rsid w:val="004A2E51"/>
    <w:rsid w:val="004A3093"/>
    <w:rsid w:val="004A333A"/>
    <w:rsid w:val="004A33FB"/>
    <w:rsid w:val="004A35D9"/>
    <w:rsid w:val="004A35E3"/>
    <w:rsid w:val="004A3B48"/>
    <w:rsid w:val="004A3FD4"/>
    <w:rsid w:val="004A427C"/>
    <w:rsid w:val="004A43D5"/>
    <w:rsid w:val="004A4989"/>
    <w:rsid w:val="004A4AD5"/>
    <w:rsid w:val="004A4BFF"/>
    <w:rsid w:val="004A4FE8"/>
    <w:rsid w:val="004A578B"/>
    <w:rsid w:val="004A59C3"/>
    <w:rsid w:val="004A5A11"/>
    <w:rsid w:val="004A60B6"/>
    <w:rsid w:val="004A62C5"/>
    <w:rsid w:val="004A6844"/>
    <w:rsid w:val="004A7059"/>
    <w:rsid w:val="004A7210"/>
    <w:rsid w:val="004A7411"/>
    <w:rsid w:val="004A7813"/>
    <w:rsid w:val="004A7BCC"/>
    <w:rsid w:val="004B0513"/>
    <w:rsid w:val="004B097B"/>
    <w:rsid w:val="004B0A0B"/>
    <w:rsid w:val="004B0AD0"/>
    <w:rsid w:val="004B0C75"/>
    <w:rsid w:val="004B0F9B"/>
    <w:rsid w:val="004B1007"/>
    <w:rsid w:val="004B108E"/>
    <w:rsid w:val="004B11E3"/>
    <w:rsid w:val="004B129E"/>
    <w:rsid w:val="004B14DF"/>
    <w:rsid w:val="004B1853"/>
    <w:rsid w:val="004B1A38"/>
    <w:rsid w:val="004B23A8"/>
    <w:rsid w:val="004B24A5"/>
    <w:rsid w:val="004B2AF7"/>
    <w:rsid w:val="004B2C3A"/>
    <w:rsid w:val="004B35D7"/>
    <w:rsid w:val="004B3692"/>
    <w:rsid w:val="004B3A58"/>
    <w:rsid w:val="004B3F6C"/>
    <w:rsid w:val="004B48EE"/>
    <w:rsid w:val="004B49C9"/>
    <w:rsid w:val="004B4A31"/>
    <w:rsid w:val="004B4C50"/>
    <w:rsid w:val="004B4D1C"/>
    <w:rsid w:val="004B4D2E"/>
    <w:rsid w:val="004B4D46"/>
    <w:rsid w:val="004B5035"/>
    <w:rsid w:val="004B5049"/>
    <w:rsid w:val="004B5588"/>
    <w:rsid w:val="004B56AE"/>
    <w:rsid w:val="004B5796"/>
    <w:rsid w:val="004B57DE"/>
    <w:rsid w:val="004B593F"/>
    <w:rsid w:val="004B5AE2"/>
    <w:rsid w:val="004B5E8D"/>
    <w:rsid w:val="004B6926"/>
    <w:rsid w:val="004B6D87"/>
    <w:rsid w:val="004B7CFA"/>
    <w:rsid w:val="004C007C"/>
    <w:rsid w:val="004C00AD"/>
    <w:rsid w:val="004C03D3"/>
    <w:rsid w:val="004C03D8"/>
    <w:rsid w:val="004C04CA"/>
    <w:rsid w:val="004C0667"/>
    <w:rsid w:val="004C0723"/>
    <w:rsid w:val="004C0F53"/>
    <w:rsid w:val="004C0FB0"/>
    <w:rsid w:val="004C1220"/>
    <w:rsid w:val="004C1417"/>
    <w:rsid w:val="004C144F"/>
    <w:rsid w:val="004C1514"/>
    <w:rsid w:val="004C1613"/>
    <w:rsid w:val="004C17F5"/>
    <w:rsid w:val="004C182E"/>
    <w:rsid w:val="004C1C39"/>
    <w:rsid w:val="004C1ECC"/>
    <w:rsid w:val="004C2070"/>
    <w:rsid w:val="004C22E8"/>
    <w:rsid w:val="004C2629"/>
    <w:rsid w:val="004C2B25"/>
    <w:rsid w:val="004C31C1"/>
    <w:rsid w:val="004C3772"/>
    <w:rsid w:val="004C3C28"/>
    <w:rsid w:val="004C3CCC"/>
    <w:rsid w:val="004C507C"/>
    <w:rsid w:val="004C5855"/>
    <w:rsid w:val="004C5AA6"/>
    <w:rsid w:val="004C60ED"/>
    <w:rsid w:val="004C635A"/>
    <w:rsid w:val="004C6406"/>
    <w:rsid w:val="004C64A7"/>
    <w:rsid w:val="004C64CA"/>
    <w:rsid w:val="004C6862"/>
    <w:rsid w:val="004C6956"/>
    <w:rsid w:val="004C6DCF"/>
    <w:rsid w:val="004C732E"/>
    <w:rsid w:val="004C739B"/>
    <w:rsid w:val="004C7A2D"/>
    <w:rsid w:val="004C7BBE"/>
    <w:rsid w:val="004C7C12"/>
    <w:rsid w:val="004C7DDA"/>
    <w:rsid w:val="004D101D"/>
    <w:rsid w:val="004D1125"/>
    <w:rsid w:val="004D156E"/>
    <w:rsid w:val="004D159C"/>
    <w:rsid w:val="004D16D3"/>
    <w:rsid w:val="004D19D4"/>
    <w:rsid w:val="004D1EFB"/>
    <w:rsid w:val="004D20AE"/>
    <w:rsid w:val="004D22B2"/>
    <w:rsid w:val="004D22F9"/>
    <w:rsid w:val="004D2A4D"/>
    <w:rsid w:val="004D2AB5"/>
    <w:rsid w:val="004D2D51"/>
    <w:rsid w:val="004D2FA6"/>
    <w:rsid w:val="004D2FBF"/>
    <w:rsid w:val="004D3364"/>
    <w:rsid w:val="004D38C0"/>
    <w:rsid w:val="004D3E8F"/>
    <w:rsid w:val="004D43F9"/>
    <w:rsid w:val="004D45BC"/>
    <w:rsid w:val="004D498F"/>
    <w:rsid w:val="004D499B"/>
    <w:rsid w:val="004D4CB2"/>
    <w:rsid w:val="004D4D9B"/>
    <w:rsid w:val="004D5007"/>
    <w:rsid w:val="004D54BC"/>
    <w:rsid w:val="004D5D85"/>
    <w:rsid w:val="004D6485"/>
    <w:rsid w:val="004D6E50"/>
    <w:rsid w:val="004D6EA7"/>
    <w:rsid w:val="004D7018"/>
    <w:rsid w:val="004D721E"/>
    <w:rsid w:val="004D73C9"/>
    <w:rsid w:val="004D7EED"/>
    <w:rsid w:val="004D7FBA"/>
    <w:rsid w:val="004E0098"/>
    <w:rsid w:val="004E0352"/>
    <w:rsid w:val="004E061D"/>
    <w:rsid w:val="004E08AA"/>
    <w:rsid w:val="004E08F7"/>
    <w:rsid w:val="004E131E"/>
    <w:rsid w:val="004E1F55"/>
    <w:rsid w:val="004E2129"/>
    <w:rsid w:val="004E2154"/>
    <w:rsid w:val="004E21F2"/>
    <w:rsid w:val="004E21FE"/>
    <w:rsid w:val="004E22AE"/>
    <w:rsid w:val="004E22F3"/>
    <w:rsid w:val="004E266A"/>
    <w:rsid w:val="004E2B6D"/>
    <w:rsid w:val="004E2BDA"/>
    <w:rsid w:val="004E30C0"/>
    <w:rsid w:val="004E316F"/>
    <w:rsid w:val="004E3467"/>
    <w:rsid w:val="004E364D"/>
    <w:rsid w:val="004E3776"/>
    <w:rsid w:val="004E3B5A"/>
    <w:rsid w:val="004E4011"/>
    <w:rsid w:val="004E42E5"/>
    <w:rsid w:val="004E4CAF"/>
    <w:rsid w:val="004E4E5E"/>
    <w:rsid w:val="004E5676"/>
    <w:rsid w:val="004E57F9"/>
    <w:rsid w:val="004E5C0E"/>
    <w:rsid w:val="004E64E9"/>
    <w:rsid w:val="004E68FE"/>
    <w:rsid w:val="004E6BAB"/>
    <w:rsid w:val="004E71D2"/>
    <w:rsid w:val="004E79FD"/>
    <w:rsid w:val="004E7AB9"/>
    <w:rsid w:val="004F0449"/>
    <w:rsid w:val="004F0715"/>
    <w:rsid w:val="004F0731"/>
    <w:rsid w:val="004F079D"/>
    <w:rsid w:val="004F07C9"/>
    <w:rsid w:val="004F0943"/>
    <w:rsid w:val="004F0B2A"/>
    <w:rsid w:val="004F135F"/>
    <w:rsid w:val="004F1969"/>
    <w:rsid w:val="004F19CF"/>
    <w:rsid w:val="004F1C9D"/>
    <w:rsid w:val="004F1D3E"/>
    <w:rsid w:val="004F1F92"/>
    <w:rsid w:val="004F20E4"/>
    <w:rsid w:val="004F215B"/>
    <w:rsid w:val="004F2172"/>
    <w:rsid w:val="004F262B"/>
    <w:rsid w:val="004F3062"/>
    <w:rsid w:val="004F30B3"/>
    <w:rsid w:val="004F3352"/>
    <w:rsid w:val="004F3426"/>
    <w:rsid w:val="004F37BE"/>
    <w:rsid w:val="004F3CD3"/>
    <w:rsid w:val="004F3FC9"/>
    <w:rsid w:val="004F42EE"/>
    <w:rsid w:val="004F4427"/>
    <w:rsid w:val="004F4672"/>
    <w:rsid w:val="004F4939"/>
    <w:rsid w:val="004F4BCE"/>
    <w:rsid w:val="004F4D87"/>
    <w:rsid w:val="004F4E3A"/>
    <w:rsid w:val="004F507C"/>
    <w:rsid w:val="004F56D3"/>
    <w:rsid w:val="004F579B"/>
    <w:rsid w:val="004F6142"/>
    <w:rsid w:val="004F625A"/>
    <w:rsid w:val="004F65DD"/>
    <w:rsid w:val="004F68C0"/>
    <w:rsid w:val="004F6C74"/>
    <w:rsid w:val="004F759B"/>
    <w:rsid w:val="004F779C"/>
    <w:rsid w:val="004F79F3"/>
    <w:rsid w:val="004F7AC1"/>
    <w:rsid w:val="0050005F"/>
    <w:rsid w:val="00500112"/>
    <w:rsid w:val="00500278"/>
    <w:rsid w:val="0050033E"/>
    <w:rsid w:val="00500670"/>
    <w:rsid w:val="00500B49"/>
    <w:rsid w:val="0050100A"/>
    <w:rsid w:val="00501124"/>
    <w:rsid w:val="0050127D"/>
    <w:rsid w:val="0050164B"/>
    <w:rsid w:val="005018A3"/>
    <w:rsid w:val="00501B28"/>
    <w:rsid w:val="00501D7B"/>
    <w:rsid w:val="00501D85"/>
    <w:rsid w:val="00501FBD"/>
    <w:rsid w:val="00502359"/>
    <w:rsid w:val="0050236E"/>
    <w:rsid w:val="00502599"/>
    <w:rsid w:val="00502906"/>
    <w:rsid w:val="0050293B"/>
    <w:rsid w:val="0050307F"/>
    <w:rsid w:val="00503334"/>
    <w:rsid w:val="005034E1"/>
    <w:rsid w:val="0050358E"/>
    <w:rsid w:val="00503883"/>
    <w:rsid w:val="00503AD4"/>
    <w:rsid w:val="00503AE1"/>
    <w:rsid w:val="00503E95"/>
    <w:rsid w:val="00504EE4"/>
    <w:rsid w:val="00505974"/>
    <w:rsid w:val="00505B71"/>
    <w:rsid w:val="00505F08"/>
    <w:rsid w:val="0050618A"/>
    <w:rsid w:val="00506611"/>
    <w:rsid w:val="00506D9C"/>
    <w:rsid w:val="005070E2"/>
    <w:rsid w:val="005072C4"/>
    <w:rsid w:val="00507414"/>
    <w:rsid w:val="00507591"/>
    <w:rsid w:val="0050781F"/>
    <w:rsid w:val="00507A26"/>
    <w:rsid w:val="00507AF8"/>
    <w:rsid w:val="005101B6"/>
    <w:rsid w:val="00510365"/>
    <w:rsid w:val="00510677"/>
    <w:rsid w:val="00510709"/>
    <w:rsid w:val="005112B3"/>
    <w:rsid w:val="00511698"/>
    <w:rsid w:val="0051180C"/>
    <w:rsid w:val="0051199C"/>
    <w:rsid w:val="00511A00"/>
    <w:rsid w:val="00511EF4"/>
    <w:rsid w:val="00511F73"/>
    <w:rsid w:val="00512558"/>
    <w:rsid w:val="00512EA0"/>
    <w:rsid w:val="00513380"/>
    <w:rsid w:val="005136E5"/>
    <w:rsid w:val="00513A6D"/>
    <w:rsid w:val="00513D8D"/>
    <w:rsid w:val="0051466E"/>
    <w:rsid w:val="005147F5"/>
    <w:rsid w:val="005149D1"/>
    <w:rsid w:val="00514D39"/>
    <w:rsid w:val="00514F59"/>
    <w:rsid w:val="005150C8"/>
    <w:rsid w:val="005152A0"/>
    <w:rsid w:val="005156AB"/>
    <w:rsid w:val="0051589F"/>
    <w:rsid w:val="00516702"/>
    <w:rsid w:val="005168D6"/>
    <w:rsid w:val="00516B14"/>
    <w:rsid w:val="00516D4D"/>
    <w:rsid w:val="0051719E"/>
    <w:rsid w:val="0051745B"/>
    <w:rsid w:val="0051746E"/>
    <w:rsid w:val="005174F4"/>
    <w:rsid w:val="00517940"/>
    <w:rsid w:val="0052029F"/>
    <w:rsid w:val="0052054C"/>
    <w:rsid w:val="00520755"/>
    <w:rsid w:val="00520ADD"/>
    <w:rsid w:val="005215C4"/>
    <w:rsid w:val="00521816"/>
    <w:rsid w:val="00521936"/>
    <w:rsid w:val="005221D8"/>
    <w:rsid w:val="005224A7"/>
    <w:rsid w:val="00522963"/>
    <w:rsid w:val="00522C02"/>
    <w:rsid w:val="00522CD2"/>
    <w:rsid w:val="00522F14"/>
    <w:rsid w:val="005230DF"/>
    <w:rsid w:val="0052393F"/>
    <w:rsid w:val="00523CB4"/>
    <w:rsid w:val="005248FF"/>
    <w:rsid w:val="00524B0F"/>
    <w:rsid w:val="00524D14"/>
    <w:rsid w:val="00524E92"/>
    <w:rsid w:val="0052501B"/>
    <w:rsid w:val="00525053"/>
    <w:rsid w:val="0052572C"/>
    <w:rsid w:val="005257CB"/>
    <w:rsid w:val="0052651B"/>
    <w:rsid w:val="00526793"/>
    <w:rsid w:val="00526914"/>
    <w:rsid w:val="005269F0"/>
    <w:rsid w:val="00526A4A"/>
    <w:rsid w:val="00526D33"/>
    <w:rsid w:val="00526D75"/>
    <w:rsid w:val="00527445"/>
    <w:rsid w:val="0052768F"/>
    <w:rsid w:val="00527811"/>
    <w:rsid w:val="00527847"/>
    <w:rsid w:val="00530121"/>
    <w:rsid w:val="005301D4"/>
    <w:rsid w:val="0053025F"/>
    <w:rsid w:val="0053052C"/>
    <w:rsid w:val="005306B7"/>
    <w:rsid w:val="00530A4F"/>
    <w:rsid w:val="00530FEF"/>
    <w:rsid w:val="005310E0"/>
    <w:rsid w:val="0053127F"/>
    <w:rsid w:val="00531B05"/>
    <w:rsid w:val="00531EFA"/>
    <w:rsid w:val="0053208C"/>
    <w:rsid w:val="00532C22"/>
    <w:rsid w:val="00533833"/>
    <w:rsid w:val="005338BC"/>
    <w:rsid w:val="00533D17"/>
    <w:rsid w:val="00534002"/>
    <w:rsid w:val="0053417B"/>
    <w:rsid w:val="005342D3"/>
    <w:rsid w:val="005344A8"/>
    <w:rsid w:val="005349E6"/>
    <w:rsid w:val="005352F1"/>
    <w:rsid w:val="005358E4"/>
    <w:rsid w:val="00535B21"/>
    <w:rsid w:val="00535CAE"/>
    <w:rsid w:val="00535F49"/>
    <w:rsid w:val="005362AC"/>
    <w:rsid w:val="00536B36"/>
    <w:rsid w:val="00536B58"/>
    <w:rsid w:val="00536F8E"/>
    <w:rsid w:val="005377FD"/>
    <w:rsid w:val="005378E1"/>
    <w:rsid w:val="005379E9"/>
    <w:rsid w:val="00537B02"/>
    <w:rsid w:val="00537D18"/>
    <w:rsid w:val="00540204"/>
    <w:rsid w:val="0054024C"/>
    <w:rsid w:val="005402DB"/>
    <w:rsid w:val="005406D7"/>
    <w:rsid w:val="0054076A"/>
    <w:rsid w:val="005412BB"/>
    <w:rsid w:val="00541760"/>
    <w:rsid w:val="0054199A"/>
    <w:rsid w:val="00541AC5"/>
    <w:rsid w:val="00541BE3"/>
    <w:rsid w:val="00541E25"/>
    <w:rsid w:val="00541F2E"/>
    <w:rsid w:val="00542881"/>
    <w:rsid w:val="00542F68"/>
    <w:rsid w:val="00542FB2"/>
    <w:rsid w:val="00543069"/>
    <w:rsid w:val="005432B1"/>
    <w:rsid w:val="005432C3"/>
    <w:rsid w:val="0054331D"/>
    <w:rsid w:val="0054357B"/>
    <w:rsid w:val="005436A1"/>
    <w:rsid w:val="00543AC3"/>
    <w:rsid w:val="00543ACC"/>
    <w:rsid w:val="00543C45"/>
    <w:rsid w:val="00543D13"/>
    <w:rsid w:val="00543FD6"/>
    <w:rsid w:val="00543FEE"/>
    <w:rsid w:val="00544021"/>
    <w:rsid w:val="0054437D"/>
    <w:rsid w:val="005443B1"/>
    <w:rsid w:val="0054475A"/>
    <w:rsid w:val="00544804"/>
    <w:rsid w:val="00544D26"/>
    <w:rsid w:val="00544DB4"/>
    <w:rsid w:val="00544F62"/>
    <w:rsid w:val="005456D1"/>
    <w:rsid w:val="00545818"/>
    <w:rsid w:val="00545CCF"/>
    <w:rsid w:val="00545E18"/>
    <w:rsid w:val="00546330"/>
    <w:rsid w:val="0054650E"/>
    <w:rsid w:val="00546C3E"/>
    <w:rsid w:val="00546FA8"/>
    <w:rsid w:val="005477B5"/>
    <w:rsid w:val="00547E61"/>
    <w:rsid w:val="00547EAB"/>
    <w:rsid w:val="00547FCE"/>
    <w:rsid w:val="00550510"/>
    <w:rsid w:val="00550554"/>
    <w:rsid w:val="005505DD"/>
    <w:rsid w:val="00550AF8"/>
    <w:rsid w:val="00550C6E"/>
    <w:rsid w:val="00550DEC"/>
    <w:rsid w:val="00550E63"/>
    <w:rsid w:val="005513A0"/>
    <w:rsid w:val="00552112"/>
    <w:rsid w:val="0055310D"/>
    <w:rsid w:val="0055336B"/>
    <w:rsid w:val="0055343F"/>
    <w:rsid w:val="00553978"/>
    <w:rsid w:val="00553B91"/>
    <w:rsid w:val="00553D4B"/>
    <w:rsid w:val="00553D4D"/>
    <w:rsid w:val="00553DB3"/>
    <w:rsid w:val="00553FFA"/>
    <w:rsid w:val="00554058"/>
    <w:rsid w:val="005542EF"/>
    <w:rsid w:val="005543BA"/>
    <w:rsid w:val="00554439"/>
    <w:rsid w:val="005546D1"/>
    <w:rsid w:val="00554DDB"/>
    <w:rsid w:val="005558AF"/>
    <w:rsid w:val="00555A44"/>
    <w:rsid w:val="00555C1A"/>
    <w:rsid w:val="00555FDB"/>
    <w:rsid w:val="00556167"/>
    <w:rsid w:val="00556338"/>
    <w:rsid w:val="00556A20"/>
    <w:rsid w:val="00556AFA"/>
    <w:rsid w:val="00556D89"/>
    <w:rsid w:val="005571B0"/>
    <w:rsid w:val="0055747A"/>
    <w:rsid w:val="00557567"/>
    <w:rsid w:val="005576A0"/>
    <w:rsid w:val="00557BB6"/>
    <w:rsid w:val="00557E7F"/>
    <w:rsid w:val="00560325"/>
    <w:rsid w:val="005609C1"/>
    <w:rsid w:val="00560A19"/>
    <w:rsid w:val="00560AD1"/>
    <w:rsid w:val="00560B02"/>
    <w:rsid w:val="00561388"/>
    <w:rsid w:val="00561577"/>
    <w:rsid w:val="005615C6"/>
    <w:rsid w:val="0056190E"/>
    <w:rsid w:val="00562106"/>
    <w:rsid w:val="005627C1"/>
    <w:rsid w:val="00562859"/>
    <w:rsid w:val="00562902"/>
    <w:rsid w:val="00562AB7"/>
    <w:rsid w:val="00562EFE"/>
    <w:rsid w:val="00562F09"/>
    <w:rsid w:val="00563245"/>
    <w:rsid w:val="0056360E"/>
    <w:rsid w:val="00563A04"/>
    <w:rsid w:val="00563BE3"/>
    <w:rsid w:val="005640C7"/>
    <w:rsid w:val="00564176"/>
    <w:rsid w:val="005643E6"/>
    <w:rsid w:val="0056457E"/>
    <w:rsid w:val="00564E05"/>
    <w:rsid w:val="00565237"/>
    <w:rsid w:val="00565789"/>
    <w:rsid w:val="00566940"/>
    <w:rsid w:val="00566A8B"/>
    <w:rsid w:val="00566A92"/>
    <w:rsid w:val="00566C89"/>
    <w:rsid w:val="00566DE1"/>
    <w:rsid w:val="005670F0"/>
    <w:rsid w:val="00567263"/>
    <w:rsid w:val="00567626"/>
    <w:rsid w:val="0056792D"/>
    <w:rsid w:val="005679DC"/>
    <w:rsid w:val="00567C82"/>
    <w:rsid w:val="00570090"/>
    <w:rsid w:val="00570179"/>
    <w:rsid w:val="0057024B"/>
    <w:rsid w:val="00570293"/>
    <w:rsid w:val="0057052A"/>
    <w:rsid w:val="005705FB"/>
    <w:rsid w:val="00570A0A"/>
    <w:rsid w:val="00570D45"/>
    <w:rsid w:val="005710C8"/>
    <w:rsid w:val="00571765"/>
    <w:rsid w:val="00571894"/>
    <w:rsid w:val="0057191E"/>
    <w:rsid w:val="00571AD8"/>
    <w:rsid w:val="00571DA4"/>
    <w:rsid w:val="005721E7"/>
    <w:rsid w:val="005725AE"/>
    <w:rsid w:val="005728C7"/>
    <w:rsid w:val="00572930"/>
    <w:rsid w:val="00572E88"/>
    <w:rsid w:val="00573755"/>
    <w:rsid w:val="0057390B"/>
    <w:rsid w:val="00573A57"/>
    <w:rsid w:val="00573AB4"/>
    <w:rsid w:val="00574101"/>
    <w:rsid w:val="005741A1"/>
    <w:rsid w:val="00574273"/>
    <w:rsid w:val="005743A0"/>
    <w:rsid w:val="00574990"/>
    <w:rsid w:val="00574A75"/>
    <w:rsid w:val="00574BC2"/>
    <w:rsid w:val="00574ED0"/>
    <w:rsid w:val="00575234"/>
    <w:rsid w:val="005753CE"/>
    <w:rsid w:val="00576119"/>
    <w:rsid w:val="00576278"/>
    <w:rsid w:val="0057634F"/>
    <w:rsid w:val="00576A3C"/>
    <w:rsid w:val="00576A47"/>
    <w:rsid w:val="00576EF1"/>
    <w:rsid w:val="005771A0"/>
    <w:rsid w:val="00577265"/>
    <w:rsid w:val="0057766B"/>
    <w:rsid w:val="005803A2"/>
    <w:rsid w:val="0058067F"/>
    <w:rsid w:val="00580717"/>
    <w:rsid w:val="00580996"/>
    <w:rsid w:val="0058100A"/>
    <w:rsid w:val="0058114D"/>
    <w:rsid w:val="00581323"/>
    <w:rsid w:val="00581EF4"/>
    <w:rsid w:val="0058290B"/>
    <w:rsid w:val="00582942"/>
    <w:rsid w:val="00582A11"/>
    <w:rsid w:val="00582A33"/>
    <w:rsid w:val="00582B2A"/>
    <w:rsid w:val="00582D73"/>
    <w:rsid w:val="00582F50"/>
    <w:rsid w:val="005832E6"/>
    <w:rsid w:val="00583440"/>
    <w:rsid w:val="00583725"/>
    <w:rsid w:val="00583970"/>
    <w:rsid w:val="00583D8F"/>
    <w:rsid w:val="005843C4"/>
    <w:rsid w:val="00584412"/>
    <w:rsid w:val="00584788"/>
    <w:rsid w:val="00584D27"/>
    <w:rsid w:val="00584E48"/>
    <w:rsid w:val="005851EE"/>
    <w:rsid w:val="00585248"/>
    <w:rsid w:val="005857B8"/>
    <w:rsid w:val="00585BEA"/>
    <w:rsid w:val="00585C94"/>
    <w:rsid w:val="00585E99"/>
    <w:rsid w:val="00585EFD"/>
    <w:rsid w:val="00586041"/>
    <w:rsid w:val="00586243"/>
    <w:rsid w:val="0058678A"/>
    <w:rsid w:val="00586C89"/>
    <w:rsid w:val="00586FA0"/>
    <w:rsid w:val="00587633"/>
    <w:rsid w:val="00587F8F"/>
    <w:rsid w:val="0059019C"/>
    <w:rsid w:val="00590A36"/>
    <w:rsid w:val="00590A60"/>
    <w:rsid w:val="00590C8A"/>
    <w:rsid w:val="00591547"/>
    <w:rsid w:val="00591E5E"/>
    <w:rsid w:val="005920D1"/>
    <w:rsid w:val="005928D3"/>
    <w:rsid w:val="00593001"/>
    <w:rsid w:val="005935D1"/>
    <w:rsid w:val="005938EB"/>
    <w:rsid w:val="00593EE1"/>
    <w:rsid w:val="00594273"/>
    <w:rsid w:val="00594312"/>
    <w:rsid w:val="0059454F"/>
    <w:rsid w:val="00594819"/>
    <w:rsid w:val="00594A10"/>
    <w:rsid w:val="00594B5D"/>
    <w:rsid w:val="0059510F"/>
    <w:rsid w:val="005958C7"/>
    <w:rsid w:val="005959FE"/>
    <w:rsid w:val="00595E33"/>
    <w:rsid w:val="00595F51"/>
    <w:rsid w:val="005963F4"/>
    <w:rsid w:val="005965B8"/>
    <w:rsid w:val="005965E0"/>
    <w:rsid w:val="005967E7"/>
    <w:rsid w:val="005969C4"/>
    <w:rsid w:val="00596F17"/>
    <w:rsid w:val="00596FBC"/>
    <w:rsid w:val="00597030"/>
    <w:rsid w:val="00597146"/>
    <w:rsid w:val="00597434"/>
    <w:rsid w:val="00597983"/>
    <w:rsid w:val="005A00AE"/>
    <w:rsid w:val="005A05AA"/>
    <w:rsid w:val="005A0C2D"/>
    <w:rsid w:val="005A1144"/>
    <w:rsid w:val="005A1235"/>
    <w:rsid w:val="005A1687"/>
    <w:rsid w:val="005A1DC0"/>
    <w:rsid w:val="005A1E7C"/>
    <w:rsid w:val="005A2317"/>
    <w:rsid w:val="005A2819"/>
    <w:rsid w:val="005A28A0"/>
    <w:rsid w:val="005A2D50"/>
    <w:rsid w:val="005A326B"/>
    <w:rsid w:val="005A3325"/>
    <w:rsid w:val="005A348C"/>
    <w:rsid w:val="005A3D90"/>
    <w:rsid w:val="005A3DBF"/>
    <w:rsid w:val="005A4220"/>
    <w:rsid w:val="005A4710"/>
    <w:rsid w:val="005A4861"/>
    <w:rsid w:val="005A4F08"/>
    <w:rsid w:val="005A508B"/>
    <w:rsid w:val="005A5107"/>
    <w:rsid w:val="005A5372"/>
    <w:rsid w:val="005A54D1"/>
    <w:rsid w:val="005A5875"/>
    <w:rsid w:val="005A5A4E"/>
    <w:rsid w:val="005A5E70"/>
    <w:rsid w:val="005A5F4B"/>
    <w:rsid w:val="005A6414"/>
    <w:rsid w:val="005A6C1E"/>
    <w:rsid w:val="005A703B"/>
    <w:rsid w:val="005A73AC"/>
    <w:rsid w:val="005A78EE"/>
    <w:rsid w:val="005A7AA6"/>
    <w:rsid w:val="005A7B1C"/>
    <w:rsid w:val="005A7BD3"/>
    <w:rsid w:val="005A7C00"/>
    <w:rsid w:val="005A7C75"/>
    <w:rsid w:val="005A7D53"/>
    <w:rsid w:val="005A7E47"/>
    <w:rsid w:val="005B00A0"/>
    <w:rsid w:val="005B0369"/>
    <w:rsid w:val="005B058F"/>
    <w:rsid w:val="005B05F2"/>
    <w:rsid w:val="005B0E66"/>
    <w:rsid w:val="005B0EA4"/>
    <w:rsid w:val="005B109A"/>
    <w:rsid w:val="005B12D4"/>
    <w:rsid w:val="005B12DC"/>
    <w:rsid w:val="005B1614"/>
    <w:rsid w:val="005B177C"/>
    <w:rsid w:val="005B2B9B"/>
    <w:rsid w:val="005B2BC2"/>
    <w:rsid w:val="005B2CA6"/>
    <w:rsid w:val="005B2FC1"/>
    <w:rsid w:val="005B3264"/>
    <w:rsid w:val="005B34D7"/>
    <w:rsid w:val="005B3690"/>
    <w:rsid w:val="005B3A62"/>
    <w:rsid w:val="005B40D7"/>
    <w:rsid w:val="005B4104"/>
    <w:rsid w:val="005B46EE"/>
    <w:rsid w:val="005B4ABC"/>
    <w:rsid w:val="005B5016"/>
    <w:rsid w:val="005B5120"/>
    <w:rsid w:val="005B532B"/>
    <w:rsid w:val="005B5546"/>
    <w:rsid w:val="005B55A9"/>
    <w:rsid w:val="005B5C44"/>
    <w:rsid w:val="005B5CDE"/>
    <w:rsid w:val="005B5E1B"/>
    <w:rsid w:val="005B657F"/>
    <w:rsid w:val="005B6B1D"/>
    <w:rsid w:val="005B6D89"/>
    <w:rsid w:val="005B6EF5"/>
    <w:rsid w:val="005B6FE1"/>
    <w:rsid w:val="005B7987"/>
    <w:rsid w:val="005B79C6"/>
    <w:rsid w:val="005B7F2A"/>
    <w:rsid w:val="005C04AF"/>
    <w:rsid w:val="005C09B8"/>
    <w:rsid w:val="005C0D79"/>
    <w:rsid w:val="005C158D"/>
    <w:rsid w:val="005C18D5"/>
    <w:rsid w:val="005C1FE9"/>
    <w:rsid w:val="005C1FED"/>
    <w:rsid w:val="005C235E"/>
    <w:rsid w:val="005C29FB"/>
    <w:rsid w:val="005C3499"/>
    <w:rsid w:val="005C34C4"/>
    <w:rsid w:val="005C36D8"/>
    <w:rsid w:val="005C3BC6"/>
    <w:rsid w:val="005C4342"/>
    <w:rsid w:val="005C44B4"/>
    <w:rsid w:val="005C4C44"/>
    <w:rsid w:val="005C50A1"/>
    <w:rsid w:val="005C5715"/>
    <w:rsid w:val="005C5864"/>
    <w:rsid w:val="005C5B15"/>
    <w:rsid w:val="005C605A"/>
    <w:rsid w:val="005C6464"/>
    <w:rsid w:val="005C653C"/>
    <w:rsid w:val="005C692B"/>
    <w:rsid w:val="005C6B66"/>
    <w:rsid w:val="005C7128"/>
    <w:rsid w:val="005C76D0"/>
    <w:rsid w:val="005D0232"/>
    <w:rsid w:val="005D02AD"/>
    <w:rsid w:val="005D07BC"/>
    <w:rsid w:val="005D106B"/>
    <w:rsid w:val="005D1288"/>
    <w:rsid w:val="005D14C4"/>
    <w:rsid w:val="005D1BFB"/>
    <w:rsid w:val="005D1EC9"/>
    <w:rsid w:val="005D1FDC"/>
    <w:rsid w:val="005D1FDD"/>
    <w:rsid w:val="005D2248"/>
    <w:rsid w:val="005D22CE"/>
    <w:rsid w:val="005D22F1"/>
    <w:rsid w:val="005D2C26"/>
    <w:rsid w:val="005D2E55"/>
    <w:rsid w:val="005D3730"/>
    <w:rsid w:val="005D3A3A"/>
    <w:rsid w:val="005D44DA"/>
    <w:rsid w:val="005D44EE"/>
    <w:rsid w:val="005D46EF"/>
    <w:rsid w:val="005D487A"/>
    <w:rsid w:val="005D48B2"/>
    <w:rsid w:val="005D4CA7"/>
    <w:rsid w:val="005D4DDF"/>
    <w:rsid w:val="005D5AC0"/>
    <w:rsid w:val="005D5C9D"/>
    <w:rsid w:val="005D617E"/>
    <w:rsid w:val="005D6BAD"/>
    <w:rsid w:val="005D6DE2"/>
    <w:rsid w:val="005D6E78"/>
    <w:rsid w:val="005D71CE"/>
    <w:rsid w:val="005D73C9"/>
    <w:rsid w:val="005D7422"/>
    <w:rsid w:val="005D75C8"/>
    <w:rsid w:val="005D7B21"/>
    <w:rsid w:val="005D7B3A"/>
    <w:rsid w:val="005D7CA2"/>
    <w:rsid w:val="005E0B16"/>
    <w:rsid w:val="005E0C5B"/>
    <w:rsid w:val="005E0E0E"/>
    <w:rsid w:val="005E1277"/>
    <w:rsid w:val="005E131F"/>
    <w:rsid w:val="005E2043"/>
    <w:rsid w:val="005E2308"/>
    <w:rsid w:val="005E2832"/>
    <w:rsid w:val="005E2899"/>
    <w:rsid w:val="005E29C0"/>
    <w:rsid w:val="005E2AE8"/>
    <w:rsid w:val="005E2CB1"/>
    <w:rsid w:val="005E3133"/>
    <w:rsid w:val="005E3512"/>
    <w:rsid w:val="005E3581"/>
    <w:rsid w:val="005E427D"/>
    <w:rsid w:val="005E42FA"/>
    <w:rsid w:val="005E4936"/>
    <w:rsid w:val="005E4C29"/>
    <w:rsid w:val="005E4F68"/>
    <w:rsid w:val="005E5C9C"/>
    <w:rsid w:val="005E60D8"/>
    <w:rsid w:val="005E68D3"/>
    <w:rsid w:val="005E6D8E"/>
    <w:rsid w:val="005E6DA0"/>
    <w:rsid w:val="005E6E17"/>
    <w:rsid w:val="005E7125"/>
    <w:rsid w:val="005E74E6"/>
    <w:rsid w:val="005E7725"/>
    <w:rsid w:val="005E7767"/>
    <w:rsid w:val="005E7B54"/>
    <w:rsid w:val="005E7BBA"/>
    <w:rsid w:val="005E7D46"/>
    <w:rsid w:val="005E7EBB"/>
    <w:rsid w:val="005E7F93"/>
    <w:rsid w:val="005F00EB"/>
    <w:rsid w:val="005F01A5"/>
    <w:rsid w:val="005F0748"/>
    <w:rsid w:val="005F1431"/>
    <w:rsid w:val="005F17F7"/>
    <w:rsid w:val="005F1DBD"/>
    <w:rsid w:val="005F25C4"/>
    <w:rsid w:val="005F2E8C"/>
    <w:rsid w:val="005F2F1D"/>
    <w:rsid w:val="005F2F61"/>
    <w:rsid w:val="005F348D"/>
    <w:rsid w:val="005F43DE"/>
    <w:rsid w:val="005F4661"/>
    <w:rsid w:val="005F49CD"/>
    <w:rsid w:val="005F520B"/>
    <w:rsid w:val="005F59EA"/>
    <w:rsid w:val="005F5EB0"/>
    <w:rsid w:val="005F6212"/>
    <w:rsid w:val="005F6381"/>
    <w:rsid w:val="005F6617"/>
    <w:rsid w:val="005F6900"/>
    <w:rsid w:val="005F6938"/>
    <w:rsid w:val="005F6DCF"/>
    <w:rsid w:val="005F6E45"/>
    <w:rsid w:val="005F70C5"/>
    <w:rsid w:val="005F7660"/>
    <w:rsid w:val="005F7C5C"/>
    <w:rsid w:val="005F7E65"/>
    <w:rsid w:val="00600051"/>
    <w:rsid w:val="00600167"/>
    <w:rsid w:val="006004BD"/>
    <w:rsid w:val="00600794"/>
    <w:rsid w:val="00600C2E"/>
    <w:rsid w:val="00601496"/>
    <w:rsid w:val="00601802"/>
    <w:rsid w:val="006018FC"/>
    <w:rsid w:val="006019D4"/>
    <w:rsid w:val="00602649"/>
    <w:rsid w:val="006028E9"/>
    <w:rsid w:val="00602916"/>
    <w:rsid w:val="00602B33"/>
    <w:rsid w:val="00602B5D"/>
    <w:rsid w:val="00602FE8"/>
    <w:rsid w:val="006030B4"/>
    <w:rsid w:val="006031E6"/>
    <w:rsid w:val="00603202"/>
    <w:rsid w:val="0060344E"/>
    <w:rsid w:val="00603455"/>
    <w:rsid w:val="006036B9"/>
    <w:rsid w:val="00603989"/>
    <w:rsid w:val="00603CF2"/>
    <w:rsid w:val="006041BA"/>
    <w:rsid w:val="00604807"/>
    <w:rsid w:val="00604FD9"/>
    <w:rsid w:val="00605220"/>
    <w:rsid w:val="00605DE9"/>
    <w:rsid w:val="006060B2"/>
    <w:rsid w:val="00606239"/>
    <w:rsid w:val="00606277"/>
    <w:rsid w:val="006062A2"/>
    <w:rsid w:val="00606563"/>
    <w:rsid w:val="00606A96"/>
    <w:rsid w:val="0060703B"/>
    <w:rsid w:val="00607207"/>
    <w:rsid w:val="006072C7"/>
    <w:rsid w:val="00607429"/>
    <w:rsid w:val="006074E4"/>
    <w:rsid w:val="00607848"/>
    <w:rsid w:val="00607A63"/>
    <w:rsid w:val="00607BC2"/>
    <w:rsid w:val="0061007F"/>
    <w:rsid w:val="006101B6"/>
    <w:rsid w:val="0061050B"/>
    <w:rsid w:val="00610773"/>
    <w:rsid w:val="006108E3"/>
    <w:rsid w:val="00610AEF"/>
    <w:rsid w:val="00610DDE"/>
    <w:rsid w:val="00610E07"/>
    <w:rsid w:val="00610E09"/>
    <w:rsid w:val="00610EBC"/>
    <w:rsid w:val="0061179F"/>
    <w:rsid w:val="00611D14"/>
    <w:rsid w:val="00612724"/>
    <w:rsid w:val="00612975"/>
    <w:rsid w:val="00612B3F"/>
    <w:rsid w:val="00612C2D"/>
    <w:rsid w:val="00613540"/>
    <w:rsid w:val="00613A9B"/>
    <w:rsid w:val="00613BEF"/>
    <w:rsid w:val="00613EC9"/>
    <w:rsid w:val="00614681"/>
    <w:rsid w:val="00614CDD"/>
    <w:rsid w:val="00615359"/>
    <w:rsid w:val="00615A03"/>
    <w:rsid w:val="00615A8E"/>
    <w:rsid w:val="00615B99"/>
    <w:rsid w:val="006163D8"/>
    <w:rsid w:val="00616506"/>
    <w:rsid w:val="00616562"/>
    <w:rsid w:val="006165EB"/>
    <w:rsid w:val="0061663A"/>
    <w:rsid w:val="00616AC2"/>
    <w:rsid w:val="00616F57"/>
    <w:rsid w:val="00617173"/>
    <w:rsid w:val="006176C0"/>
    <w:rsid w:val="006176F2"/>
    <w:rsid w:val="006177FD"/>
    <w:rsid w:val="0061788D"/>
    <w:rsid w:val="00617921"/>
    <w:rsid w:val="00617CD8"/>
    <w:rsid w:val="00617F9A"/>
    <w:rsid w:val="00620428"/>
    <w:rsid w:val="00620B2F"/>
    <w:rsid w:val="00621158"/>
    <w:rsid w:val="00621464"/>
    <w:rsid w:val="006215F4"/>
    <w:rsid w:val="00621A4B"/>
    <w:rsid w:val="00621B83"/>
    <w:rsid w:val="00621C3B"/>
    <w:rsid w:val="00621D04"/>
    <w:rsid w:val="00621D48"/>
    <w:rsid w:val="00621FE1"/>
    <w:rsid w:val="0062200E"/>
    <w:rsid w:val="006220D3"/>
    <w:rsid w:val="0062228A"/>
    <w:rsid w:val="006227F8"/>
    <w:rsid w:val="00622F14"/>
    <w:rsid w:val="0062336F"/>
    <w:rsid w:val="0062339A"/>
    <w:rsid w:val="00623579"/>
    <w:rsid w:val="00623A38"/>
    <w:rsid w:val="00623E21"/>
    <w:rsid w:val="006241EC"/>
    <w:rsid w:val="00624973"/>
    <w:rsid w:val="00625798"/>
    <w:rsid w:val="006259DA"/>
    <w:rsid w:val="00625A5F"/>
    <w:rsid w:val="00625D91"/>
    <w:rsid w:val="006262E1"/>
    <w:rsid w:val="006266F4"/>
    <w:rsid w:val="00626B12"/>
    <w:rsid w:val="00626C0A"/>
    <w:rsid w:val="00626E1E"/>
    <w:rsid w:val="00626E90"/>
    <w:rsid w:val="00627441"/>
    <w:rsid w:val="006275EC"/>
    <w:rsid w:val="0062763B"/>
    <w:rsid w:val="00627736"/>
    <w:rsid w:val="00627E67"/>
    <w:rsid w:val="00630160"/>
    <w:rsid w:val="006306B2"/>
    <w:rsid w:val="00630CEC"/>
    <w:rsid w:val="00630D5C"/>
    <w:rsid w:val="00631012"/>
    <w:rsid w:val="0063128F"/>
    <w:rsid w:val="00631290"/>
    <w:rsid w:val="0063156D"/>
    <w:rsid w:val="00631B6C"/>
    <w:rsid w:val="00631EF8"/>
    <w:rsid w:val="0063201C"/>
    <w:rsid w:val="00632410"/>
    <w:rsid w:val="006325C1"/>
    <w:rsid w:val="0063262A"/>
    <w:rsid w:val="0063374D"/>
    <w:rsid w:val="00633ABC"/>
    <w:rsid w:val="0063442B"/>
    <w:rsid w:val="00634555"/>
    <w:rsid w:val="006349D8"/>
    <w:rsid w:val="00634A20"/>
    <w:rsid w:val="00634C8D"/>
    <w:rsid w:val="0063586C"/>
    <w:rsid w:val="006359AE"/>
    <w:rsid w:val="00636260"/>
    <w:rsid w:val="00636934"/>
    <w:rsid w:val="006369A9"/>
    <w:rsid w:val="00636E1C"/>
    <w:rsid w:val="00636EA0"/>
    <w:rsid w:val="0063765D"/>
    <w:rsid w:val="00637C75"/>
    <w:rsid w:val="00637FBF"/>
    <w:rsid w:val="00640160"/>
    <w:rsid w:val="00640237"/>
    <w:rsid w:val="0064043C"/>
    <w:rsid w:val="00640E1D"/>
    <w:rsid w:val="00641178"/>
    <w:rsid w:val="00641262"/>
    <w:rsid w:val="00641A36"/>
    <w:rsid w:val="00641CF6"/>
    <w:rsid w:val="00641EBA"/>
    <w:rsid w:val="006427F7"/>
    <w:rsid w:val="00642B7B"/>
    <w:rsid w:val="00642CF1"/>
    <w:rsid w:val="00643144"/>
    <w:rsid w:val="006431F6"/>
    <w:rsid w:val="006436D9"/>
    <w:rsid w:val="00643823"/>
    <w:rsid w:val="006439EB"/>
    <w:rsid w:val="00643E04"/>
    <w:rsid w:val="00644193"/>
    <w:rsid w:val="00644CF4"/>
    <w:rsid w:val="006451D1"/>
    <w:rsid w:val="00645228"/>
    <w:rsid w:val="0064584F"/>
    <w:rsid w:val="006459F0"/>
    <w:rsid w:val="00645B58"/>
    <w:rsid w:val="00645E1B"/>
    <w:rsid w:val="00645FFA"/>
    <w:rsid w:val="00646FBD"/>
    <w:rsid w:val="00647011"/>
    <w:rsid w:val="006472F0"/>
    <w:rsid w:val="0064748E"/>
    <w:rsid w:val="006479E1"/>
    <w:rsid w:val="00647E74"/>
    <w:rsid w:val="00650066"/>
    <w:rsid w:val="00650148"/>
    <w:rsid w:val="00650284"/>
    <w:rsid w:val="00650845"/>
    <w:rsid w:val="00650CFE"/>
    <w:rsid w:val="006510AA"/>
    <w:rsid w:val="0065112F"/>
    <w:rsid w:val="006515F5"/>
    <w:rsid w:val="006518FC"/>
    <w:rsid w:val="00651A0A"/>
    <w:rsid w:val="00651DCE"/>
    <w:rsid w:val="00651FAD"/>
    <w:rsid w:val="006524A7"/>
    <w:rsid w:val="0065268F"/>
    <w:rsid w:val="0065297F"/>
    <w:rsid w:val="00652D2C"/>
    <w:rsid w:val="00652F5D"/>
    <w:rsid w:val="006533BC"/>
    <w:rsid w:val="0065377E"/>
    <w:rsid w:val="00653C42"/>
    <w:rsid w:val="00653EA7"/>
    <w:rsid w:val="006542E9"/>
    <w:rsid w:val="00654357"/>
    <w:rsid w:val="00654400"/>
    <w:rsid w:val="006552F4"/>
    <w:rsid w:val="006556C3"/>
    <w:rsid w:val="006559A5"/>
    <w:rsid w:val="00655C2F"/>
    <w:rsid w:val="006564C7"/>
    <w:rsid w:val="006564EA"/>
    <w:rsid w:val="006571D6"/>
    <w:rsid w:val="006571FA"/>
    <w:rsid w:val="00657299"/>
    <w:rsid w:val="006572B6"/>
    <w:rsid w:val="006576CB"/>
    <w:rsid w:val="006578E7"/>
    <w:rsid w:val="00657AF7"/>
    <w:rsid w:val="00657C3F"/>
    <w:rsid w:val="00660441"/>
    <w:rsid w:val="006607CE"/>
    <w:rsid w:val="0066084F"/>
    <w:rsid w:val="0066085D"/>
    <w:rsid w:val="00660BBD"/>
    <w:rsid w:val="00660DEF"/>
    <w:rsid w:val="00661222"/>
    <w:rsid w:val="00661391"/>
    <w:rsid w:val="00661483"/>
    <w:rsid w:val="00661671"/>
    <w:rsid w:val="006617DA"/>
    <w:rsid w:val="0066189B"/>
    <w:rsid w:val="006619FF"/>
    <w:rsid w:val="006622F3"/>
    <w:rsid w:val="00662D02"/>
    <w:rsid w:val="006630A7"/>
    <w:rsid w:val="0066310C"/>
    <w:rsid w:val="00663530"/>
    <w:rsid w:val="006636E4"/>
    <w:rsid w:val="00663D60"/>
    <w:rsid w:val="006642CE"/>
    <w:rsid w:val="0066432A"/>
    <w:rsid w:val="00664BB9"/>
    <w:rsid w:val="00664F65"/>
    <w:rsid w:val="00665195"/>
    <w:rsid w:val="006652FF"/>
    <w:rsid w:val="00665749"/>
    <w:rsid w:val="00665C52"/>
    <w:rsid w:val="0066609D"/>
    <w:rsid w:val="006661E8"/>
    <w:rsid w:val="0066658C"/>
    <w:rsid w:val="00666901"/>
    <w:rsid w:val="00666E18"/>
    <w:rsid w:val="0066710D"/>
    <w:rsid w:val="006671BA"/>
    <w:rsid w:val="0066746A"/>
    <w:rsid w:val="0066783F"/>
    <w:rsid w:val="00667F10"/>
    <w:rsid w:val="00670161"/>
    <w:rsid w:val="006705A8"/>
    <w:rsid w:val="0067071F"/>
    <w:rsid w:val="006707C2"/>
    <w:rsid w:val="00671341"/>
    <w:rsid w:val="00671753"/>
    <w:rsid w:val="006717E5"/>
    <w:rsid w:val="00671FED"/>
    <w:rsid w:val="00672474"/>
    <w:rsid w:val="006726D7"/>
    <w:rsid w:val="00672E69"/>
    <w:rsid w:val="006730B6"/>
    <w:rsid w:val="0067339D"/>
    <w:rsid w:val="006737F8"/>
    <w:rsid w:val="00673F04"/>
    <w:rsid w:val="00674039"/>
    <w:rsid w:val="0067409B"/>
    <w:rsid w:val="00674263"/>
    <w:rsid w:val="006748BC"/>
    <w:rsid w:val="006748CB"/>
    <w:rsid w:val="00674901"/>
    <w:rsid w:val="00674EAD"/>
    <w:rsid w:val="00674FAD"/>
    <w:rsid w:val="00675E7E"/>
    <w:rsid w:val="0067627C"/>
    <w:rsid w:val="0067633C"/>
    <w:rsid w:val="00676925"/>
    <w:rsid w:val="006769F9"/>
    <w:rsid w:val="00676B46"/>
    <w:rsid w:val="00676F0A"/>
    <w:rsid w:val="00677157"/>
    <w:rsid w:val="00677300"/>
    <w:rsid w:val="006779DB"/>
    <w:rsid w:val="006779EB"/>
    <w:rsid w:val="00677A94"/>
    <w:rsid w:val="00677BDD"/>
    <w:rsid w:val="00677EC3"/>
    <w:rsid w:val="0068012F"/>
    <w:rsid w:val="00680BEF"/>
    <w:rsid w:val="006815AF"/>
    <w:rsid w:val="0068187B"/>
    <w:rsid w:val="00681910"/>
    <w:rsid w:val="00681BA7"/>
    <w:rsid w:val="00681E32"/>
    <w:rsid w:val="0068207B"/>
    <w:rsid w:val="006820F8"/>
    <w:rsid w:val="006825BC"/>
    <w:rsid w:val="0068275B"/>
    <w:rsid w:val="006827E4"/>
    <w:rsid w:val="00682816"/>
    <w:rsid w:val="00682904"/>
    <w:rsid w:val="00682C59"/>
    <w:rsid w:val="0068380C"/>
    <w:rsid w:val="00683BBC"/>
    <w:rsid w:val="00684265"/>
    <w:rsid w:val="00684303"/>
    <w:rsid w:val="00684785"/>
    <w:rsid w:val="00684AB0"/>
    <w:rsid w:val="00684BB9"/>
    <w:rsid w:val="00684D2A"/>
    <w:rsid w:val="00685167"/>
    <w:rsid w:val="0068537F"/>
    <w:rsid w:val="00685923"/>
    <w:rsid w:val="0068599C"/>
    <w:rsid w:val="00685B7E"/>
    <w:rsid w:val="00685C13"/>
    <w:rsid w:val="00686229"/>
    <w:rsid w:val="006863B3"/>
    <w:rsid w:val="00686426"/>
    <w:rsid w:val="00686562"/>
    <w:rsid w:val="006865D0"/>
    <w:rsid w:val="00686BF2"/>
    <w:rsid w:val="00686EB1"/>
    <w:rsid w:val="0068708E"/>
    <w:rsid w:val="006871D6"/>
    <w:rsid w:val="00687613"/>
    <w:rsid w:val="00687BC2"/>
    <w:rsid w:val="006900D3"/>
    <w:rsid w:val="006906AF"/>
    <w:rsid w:val="00690E0A"/>
    <w:rsid w:val="0069119B"/>
    <w:rsid w:val="0069159F"/>
    <w:rsid w:val="00691824"/>
    <w:rsid w:val="00691A85"/>
    <w:rsid w:val="00691BBC"/>
    <w:rsid w:val="00691DFB"/>
    <w:rsid w:val="00691F62"/>
    <w:rsid w:val="00691FD9"/>
    <w:rsid w:val="006924DE"/>
    <w:rsid w:val="00692548"/>
    <w:rsid w:val="006925E8"/>
    <w:rsid w:val="006926D0"/>
    <w:rsid w:val="006927E1"/>
    <w:rsid w:val="00692BC0"/>
    <w:rsid w:val="00692C65"/>
    <w:rsid w:val="00693811"/>
    <w:rsid w:val="00693A23"/>
    <w:rsid w:val="00693C41"/>
    <w:rsid w:val="00693D02"/>
    <w:rsid w:val="00694426"/>
    <w:rsid w:val="00694D7D"/>
    <w:rsid w:val="00695257"/>
    <w:rsid w:val="00695319"/>
    <w:rsid w:val="00695572"/>
    <w:rsid w:val="00695CF9"/>
    <w:rsid w:val="00695E3F"/>
    <w:rsid w:val="00695FBB"/>
    <w:rsid w:val="0069657B"/>
    <w:rsid w:val="0069666C"/>
    <w:rsid w:val="006969BE"/>
    <w:rsid w:val="00696CCB"/>
    <w:rsid w:val="00697375"/>
    <w:rsid w:val="00697928"/>
    <w:rsid w:val="00697AB8"/>
    <w:rsid w:val="00697FEA"/>
    <w:rsid w:val="006A03BF"/>
    <w:rsid w:val="006A041D"/>
    <w:rsid w:val="006A0869"/>
    <w:rsid w:val="006A096F"/>
    <w:rsid w:val="006A0FDA"/>
    <w:rsid w:val="006A100D"/>
    <w:rsid w:val="006A1038"/>
    <w:rsid w:val="006A11A2"/>
    <w:rsid w:val="006A1F11"/>
    <w:rsid w:val="006A21AA"/>
    <w:rsid w:val="006A2237"/>
    <w:rsid w:val="006A239C"/>
    <w:rsid w:val="006A26A0"/>
    <w:rsid w:val="006A274A"/>
    <w:rsid w:val="006A2A0F"/>
    <w:rsid w:val="006A2E48"/>
    <w:rsid w:val="006A2F99"/>
    <w:rsid w:val="006A2FD9"/>
    <w:rsid w:val="006A3085"/>
    <w:rsid w:val="006A317D"/>
    <w:rsid w:val="006A31AF"/>
    <w:rsid w:val="006A3356"/>
    <w:rsid w:val="006A3811"/>
    <w:rsid w:val="006A3B1B"/>
    <w:rsid w:val="006A3E95"/>
    <w:rsid w:val="006A41B2"/>
    <w:rsid w:val="006A450B"/>
    <w:rsid w:val="006A47E0"/>
    <w:rsid w:val="006A4CAA"/>
    <w:rsid w:val="006A4F28"/>
    <w:rsid w:val="006A506A"/>
    <w:rsid w:val="006A529B"/>
    <w:rsid w:val="006A55EF"/>
    <w:rsid w:val="006A578C"/>
    <w:rsid w:val="006A59CD"/>
    <w:rsid w:val="006A5EAB"/>
    <w:rsid w:val="006A5F8A"/>
    <w:rsid w:val="006A5FA7"/>
    <w:rsid w:val="006A61F9"/>
    <w:rsid w:val="006A6616"/>
    <w:rsid w:val="006A67A2"/>
    <w:rsid w:val="006A69AB"/>
    <w:rsid w:val="006A754E"/>
    <w:rsid w:val="006A7560"/>
    <w:rsid w:val="006A7820"/>
    <w:rsid w:val="006A7A0D"/>
    <w:rsid w:val="006A7C85"/>
    <w:rsid w:val="006A7D35"/>
    <w:rsid w:val="006B01C3"/>
    <w:rsid w:val="006B08F2"/>
    <w:rsid w:val="006B0E90"/>
    <w:rsid w:val="006B1482"/>
    <w:rsid w:val="006B15BC"/>
    <w:rsid w:val="006B253D"/>
    <w:rsid w:val="006B2843"/>
    <w:rsid w:val="006B2A5B"/>
    <w:rsid w:val="006B30D4"/>
    <w:rsid w:val="006B399C"/>
    <w:rsid w:val="006B39C3"/>
    <w:rsid w:val="006B3B6D"/>
    <w:rsid w:val="006B3BAA"/>
    <w:rsid w:val="006B4EDC"/>
    <w:rsid w:val="006B556F"/>
    <w:rsid w:val="006B56B9"/>
    <w:rsid w:val="006B59DC"/>
    <w:rsid w:val="006B5D57"/>
    <w:rsid w:val="006B5F37"/>
    <w:rsid w:val="006B637E"/>
    <w:rsid w:val="006B648D"/>
    <w:rsid w:val="006B667D"/>
    <w:rsid w:val="006B6DCA"/>
    <w:rsid w:val="006B74AD"/>
    <w:rsid w:val="006B755B"/>
    <w:rsid w:val="006B7691"/>
    <w:rsid w:val="006B78E1"/>
    <w:rsid w:val="006B7E93"/>
    <w:rsid w:val="006B7F0A"/>
    <w:rsid w:val="006C07B1"/>
    <w:rsid w:val="006C09B7"/>
    <w:rsid w:val="006C106D"/>
    <w:rsid w:val="006C1AE4"/>
    <w:rsid w:val="006C1EB0"/>
    <w:rsid w:val="006C1F39"/>
    <w:rsid w:val="006C20B6"/>
    <w:rsid w:val="006C2400"/>
    <w:rsid w:val="006C2BC6"/>
    <w:rsid w:val="006C2C2A"/>
    <w:rsid w:val="006C2E1D"/>
    <w:rsid w:val="006C3175"/>
    <w:rsid w:val="006C31F1"/>
    <w:rsid w:val="006C3349"/>
    <w:rsid w:val="006C3925"/>
    <w:rsid w:val="006C3AFF"/>
    <w:rsid w:val="006C4B16"/>
    <w:rsid w:val="006C4D78"/>
    <w:rsid w:val="006C552E"/>
    <w:rsid w:val="006C586A"/>
    <w:rsid w:val="006C5A26"/>
    <w:rsid w:val="006C68BE"/>
    <w:rsid w:val="006C69DE"/>
    <w:rsid w:val="006C6AC9"/>
    <w:rsid w:val="006C6D13"/>
    <w:rsid w:val="006C6F7B"/>
    <w:rsid w:val="006C749F"/>
    <w:rsid w:val="006C77FF"/>
    <w:rsid w:val="006C7810"/>
    <w:rsid w:val="006C7C29"/>
    <w:rsid w:val="006C7C7E"/>
    <w:rsid w:val="006C7D86"/>
    <w:rsid w:val="006C7DA1"/>
    <w:rsid w:val="006C7DA7"/>
    <w:rsid w:val="006C7FA5"/>
    <w:rsid w:val="006C7FF2"/>
    <w:rsid w:val="006D09A7"/>
    <w:rsid w:val="006D0C77"/>
    <w:rsid w:val="006D0EAF"/>
    <w:rsid w:val="006D1715"/>
    <w:rsid w:val="006D186E"/>
    <w:rsid w:val="006D190A"/>
    <w:rsid w:val="006D2196"/>
    <w:rsid w:val="006D2D18"/>
    <w:rsid w:val="006D2E41"/>
    <w:rsid w:val="006D35A0"/>
    <w:rsid w:val="006D39E7"/>
    <w:rsid w:val="006D3FA7"/>
    <w:rsid w:val="006D4195"/>
    <w:rsid w:val="006D50AD"/>
    <w:rsid w:val="006D547D"/>
    <w:rsid w:val="006D598F"/>
    <w:rsid w:val="006D5A7D"/>
    <w:rsid w:val="006D5DB7"/>
    <w:rsid w:val="006D5F3F"/>
    <w:rsid w:val="006D6209"/>
    <w:rsid w:val="006D621E"/>
    <w:rsid w:val="006D64F3"/>
    <w:rsid w:val="006D65DA"/>
    <w:rsid w:val="006D69D8"/>
    <w:rsid w:val="006D77E5"/>
    <w:rsid w:val="006D7A78"/>
    <w:rsid w:val="006D7BC6"/>
    <w:rsid w:val="006D7C6A"/>
    <w:rsid w:val="006D7FE2"/>
    <w:rsid w:val="006E0074"/>
    <w:rsid w:val="006E07DE"/>
    <w:rsid w:val="006E18F4"/>
    <w:rsid w:val="006E1980"/>
    <w:rsid w:val="006E2532"/>
    <w:rsid w:val="006E25DB"/>
    <w:rsid w:val="006E2669"/>
    <w:rsid w:val="006E2CB6"/>
    <w:rsid w:val="006E3295"/>
    <w:rsid w:val="006E33D9"/>
    <w:rsid w:val="006E3470"/>
    <w:rsid w:val="006E3577"/>
    <w:rsid w:val="006E3641"/>
    <w:rsid w:val="006E3C71"/>
    <w:rsid w:val="006E3F18"/>
    <w:rsid w:val="006E3F85"/>
    <w:rsid w:val="006E41AF"/>
    <w:rsid w:val="006E473F"/>
    <w:rsid w:val="006E479A"/>
    <w:rsid w:val="006E4A5A"/>
    <w:rsid w:val="006E4D4E"/>
    <w:rsid w:val="006E4EE3"/>
    <w:rsid w:val="006E5176"/>
    <w:rsid w:val="006E55DC"/>
    <w:rsid w:val="006E59B3"/>
    <w:rsid w:val="006E5D69"/>
    <w:rsid w:val="006E6242"/>
    <w:rsid w:val="006E6486"/>
    <w:rsid w:val="006E6759"/>
    <w:rsid w:val="006E749A"/>
    <w:rsid w:val="006E75A1"/>
    <w:rsid w:val="006E763F"/>
    <w:rsid w:val="006E76BD"/>
    <w:rsid w:val="006E78B5"/>
    <w:rsid w:val="006E79EB"/>
    <w:rsid w:val="006E7B96"/>
    <w:rsid w:val="006E7F9D"/>
    <w:rsid w:val="006F00E2"/>
    <w:rsid w:val="006F0126"/>
    <w:rsid w:val="006F066E"/>
    <w:rsid w:val="006F09E9"/>
    <w:rsid w:val="006F0CF2"/>
    <w:rsid w:val="006F131B"/>
    <w:rsid w:val="006F15D5"/>
    <w:rsid w:val="006F1697"/>
    <w:rsid w:val="006F1BA5"/>
    <w:rsid w:val="006F1C10"/>
    <w:rsid w:val="006F1DFE"/>
    <w:rsid w:val="006F1E71"/>
    <w:rsid w:val="006F1F6F"/>
    <w:rsid w:val="006F2282"/>
    <w:rsid w:val="006F263A"/>
    <w:rsid w:val="006F2703"/>
    <w:rsid w:val="006F2889"/>
    <w:rsid w:val="006F2A69"/>
    <w:rsid w:val="006F2D22"/>
    <w:rsid w:val="006F2DA2"/>
    <w:rsid w:val="006F2DDA"/>
    <w:rsid w:val="006F2F68"/>
    <w:rsid w:val="006F31CA"/>
    <w:rsid w:val="006F3282"/>
    <w:rsid w:val="006F356C"/>
    <w:rsid w:val="006F3857"/>
    <w:rsid w:val="006F3F36"/>
    <w:rsid w:val="006F41F9"/>
    <w:rsid w:val="006F43D3"/>
    <w:rsid w:val="006F4444"/>
    <w:rsid w:val="006F44EE"/>
    <w:rsid w:val="006F4667"/>
    <w:rsid w:val="006F46BC"/>
    <w:rsid w:val="006F473F"/>
    <w:rsid w:val="006F4CA0"/>
    <w:rsid w:val="006F4CB6"/>
    <w:rsid w:val="006F546B"/>
    <w:rsid w:val="006F55A8"/>
    <w:rsid w:val="006F563B"/>
    <w:rsid w:val="006F5A44"/>
    <w:rsid w:val="006F5B54"/>
    <w:rsid w:val="006F637C"/>
    <w:rsid w:val="006F63FD"/>
    <w:rsid w:val="006F68F4"/>
    <w:rsid w:val="006F6CA3"/>
    <w:rsid w:val="006F6D94"/>
    <w:rsid w:val="006F7480"/>
    <w:rsid w:val="006F7F51"/>
    <w:rsid w:val="00700ACC"/>
    <w:rsid w:val="00701209"/>
    <w:rsid w:val="00701307"/>
    <w:rsid w:val="00701A5E"/>
    <w:rsid w:val="00701C67"/>
    <w:rsid w:val="00701D61"/>
    <w:rsid w:val="00702391"/>
    <w:rsid w:val="007023D8"/>
    <w:rsid w:val="00702E71"/>
    <w:rsid w:val="007031A5"/>
    <w:rsid w:val="00703540"/>
    <w:rsid w:val="00703FCF"/>
    <w:rsid w:val="007042DB"/>
    <w:rsid w:val="007048B9"/>
    <w:rsid w:val="007048EA"/>
    <w:rsid w:val="00705053"/>
    <w:rsid w:val="007050A0"/>
    <w:rsid w:val="007060E9"/>
    <w:rsid w:val="00706354"/>
    <w:rsid w:val="00706393"/>
    <w:rsid w:val="007063FD"/>
    <w:rsid w:val="007066C4"/>
    <w:rsid w:val="00706910"/>
    <w:rsid w:val="00707040"/>
    <w:rsid w:val="0070722C"/>
    <w:rsid w:val="007079A3"/>
    <w:rsid w:val="007102FE"/>
    <w:rsid w:val="00710BC1"/>
    <w:rsid w:val="00710F29"/>
    <w:rsid w:val="00711A67"/>
    <w:rsid w:val="00711CDE"/>
    <w:rsid w:val="00711EFD"/>
    <w:rsid w:val="0071269F"/>
    <w:rsid w:val="00712BC8"/>
    <w:rsid w:val="00712D0B"/>
    <w:rsid w:val="00712F1B"/>
    <w:rsid w:val="007135B6"/>
    <w:rsid w:val="00713835"/>
    <w:rsid w:val="00713936"/>
    <w:rsid w:val="00713B48"/>
    <w:rsid w:val="00713B95"/>
    <w:rsid w:val="00713D46"/>
    <w:rsid w:val="00713D99"/>
    <w:rsid w:val="00714065"/>
    <w:rsid w:val="0071468F"/>
    <w:rsid w:val="00714BBF"/>
    <w:rsid w:val="00714D01"/>
    <w:rsid w:val="00714D36"/>
    <w:rsid w:val="00714E6B"/>
    <w:rsid w:val="00715126"/>
    <w:rsid w:val="007152F7"/>
    <w:rsid w:val="00715371"/>
    <w:rsid w:val="0071562F"/>
    <w:rsid w:val="007156E9"/>
    <w:rsid w:val="00715D51"/>
    <w:rsid w:val="007166D0"/>
    <w:rsid w:val="007166E8"/>
    <w:rsid w:val="0071691B"/>
    <w:rsid w:val="0071693A"/>
    <w:rsid w:val="00716A5E"/>
    <w:rsid w:val="00716E9F"/>
    <w:rsid w:val="007178D1"/>
    <w:rsid w:val="00717A61"/>
    <w:rsid w:val="00717A75"/>
    <w:rsid w:val="00717B7A"/>
    <w:rsid w:val="00717F49"/>
    <w:rsid w:val="0072021D"/>
    <w:rsid w:val="00720436"/>
    <w:rsid w:val="00720462"/>
    <w:rsid w:val="00720582"/>
    <w:rsid w:val="007205A2"/>
    <w:rsid w:val="007205A3"/>
    <w:rsid w:val="00720646"/>
    <w:rsid w:val="007206BF"/>
    <w:rsid w:val="00720A9D"/>
    <w:rsid w:val="00720E7E"/>
    <w:rsid w:val="00721052"/>
    <w:rsid w:val="007213DB"/>
    <w:rsid w:val="007218E2"/>
    <w:rsid w:val="00721A4C"/>
    <w:rsid w:val="00721ACC"/>
    <w:rsid w:val="00721D4B"/>
    <w:rsid w:val="00721D50"/>
    <w:rsid w:val="00722358"/>
    <w:rsid w:val="00722385"/>
    <w:rsid w:val="00723EA8"/>
    <w:rsid w:val="0072404E"/>
    <w:rsid w:val="007242AF"/>
    <w:rsid w:val="007243E9"/>
    <w:rsid w:val="0072453A"/>
    <w:rsid w:val="00724C8C"/>
    <w:rsid w:val="00725138"/>
    <w:rsid w:val="007251C0"/>
    <w:rsid w:val="0072522C"/>
    <w:rsid w:val="00725677"/>
    <w:rsid w:val="0072578B"/>
    <w:rsid w:val="00725AAC"/>
    <w:rsid w:val="00726109"/>
    <w:rsid w:val="00726324"/>
    <w:rsid w:val="0072678E"/>
    <w:rsid w:val="00726B4D"/>
    <w:rsid w:val="00726CC5"/>
    <w:rsid w:val="00726FC9"/>
    <w:rsid w:val="007270E8"/>
    <w:rsid w:val="007272EA"/>
    <w:rsid w:val="00727462"/>
    <w:rsid w:val="007278FE"/>
    <w:rsid w:val="00727A82"/>
    <w:rsid w:val="00727D64"/>
    <w:rsid w:val="00727EC9"/>
    <w:rsid w:val="007304F0"/>
    <w:rsid w:val="00730C3D"/>
    <w:rsid w:val="00731132"/>
    <w:rsid w:val="00731193"/>
    <w:rsid w:val="00731432"/>
    <w:rsid w:val="00731536"/>
    <w:rsid w:val="0073180C"/>
    <w:rsid w:val="00731E6D"/>
    <w:rsid w:val="0073210C"/>
    <w:rsid w:val="007327FF"/>
    <w:rsid w:val="00732942"/>
    <w:rsid w:val="00732A20"/>
    <w:rsid w:val="00733550"/>
    <w:rsid w:val="007338D3"/>
    <w:rsid w:val="00733A2E"/>
    <w:rsid w:val="00733E1F"/>
    <w:rsid w:val="007341DA"/>
    <w:rsid w:val="0073444E"/>
    <w:rsid w:val="00734469"/>
    <w:rsid w:val="007349CD"/>
    <w:rsid w:val="00734E06"/>
    <w:rsid w:val="00734E85"/>
    <w:rsid w:val="00735496"/>
    <w:rsid w:val="0073589C"/>
    <w:rsid w:val="00735EF5"/>
    <w:rsid w:val="00736123"/>
    <w:rsid w:val="00736256"/>
    <w:rsid w:val="007364E9"/>
    <w:rsid w:val="00736D56"/>
    <w:rsid w:val="007371D8"/>
    <w:rsid w:val="00740B15"/>
    <w:rsid w:val="00740C3F"/>
    <w:rsid w:val="00741104"/>
    <w:rsid w:val="00741190"/>
    <w:rsid w:val="007416A4"/>
    <w:rsid w:val="00741702"/>
    <w:rsid w:val="00741706"/>
    <w:rsid w:val="00741983"/>
    <w:rsid w:val="0074235A"/>
    <w:rsid w:val="00742776"/>
    <w:rsid w:val="007429EB"/>
    <w:rsid w:val="00742AB2"/>
    <w:rsid w:val="00742DFB"/>
    <w:rsid w:val="00743239"/>
    <w:rsid w:val="0074335C"/>
    <w:rsid w:val="0074368C"/>
    <w:rsid w:val="00743786"/>
    <w:rsid w:val="00743806"/>
    <w:rsid w:val="00743B26"/>
    <w:rsid w:val="0074431E"/>
    <w:rsid w:val="00744539"/>
    <w:rsid w:val="00744B5C"/>
    <w:rsid w:val="007451A3"/>
    <w:rsid w:val="0074537A"/>
    <w:rsid w:val="007455A6"/>
    <w:rsid w:val="00745834"/>
    <w:rsid w:val="007458B4"/>
    <w:rsid w:val="00745AFA"/>
    <w:rsid w:val="00745FED"/>
    <w:rsid w:val="00746068"/>
    <w:rsid w:val="007466BF"/>
    <w:rsid w:val="00746E2C"/>
    <w:rsid w:val="007473FF"/>
    <w:rsid w:val="00747582"/>
    <w:rsid w:val="0074760F"/>
    <w:rsid w:val="007476E1"/>
    <w:rsid w:val="00747E99"/>
    <w:rsid w:val="00750B0A"/>
    <w:rsid w:val="00751055"/>
    <w:rsid w:val="00751085"/>
    <w:rsid w:val="00751206"/>
    <w:rsid w:val="00751727"/>
    <w:rsid w:val="00751840"/>
    <w:rsid w:val="0075188C"/>
    <w:rsid w:val="00751995"/>
    <w:rsid w:val="00751B41"/>
    <w:rsid w:val="00751CBC"/>
    <w:rsid w:val="00751DAD"/>
    <w:rsid w:val="0075212D"/>
    <w:rsid w:val="007523A7"/>
    <w:rsid w:val="0075264D"/>
    <w:rsid w:val="00752CF4"/>
    <w:rsid w:val="00752F13"/>
    <w:rsid w:val="00753784"/>
    <w:rsid w:val="00754662"/>
    <w:rsid w:val="007548D5"/>
    <w:rsid w:val="00754E51"/>
    <w:rsid w:val="007550E7"/>
    <w:rsid w:val="007551E2"/>
    <w:rsid w:val="00755B44"/>
    <w:rsid w:val="00755B81"/>
    <w:rsid w:val="00755CB3"/>
    <w:rsid w:val="00755D7B"/>
    <w:rsid w:val="007560CC"/>
    <w:rsid w:val="00756B1B"/>
    <w:rsid w:val="00756D5C"/>
    <w:rsid w:val="00756E61"/>
    <w:rsid w:val="00756EA1"/>
    <w:rsid w:val="0075700E"/>
    <w:rsid w:val="007606B1"/>
    <w:rsid w:val="0076089B"/>
    <w:rsid w:val="00761342"/>
    <w:rsid w:val="00761449"/>
    <w:rsid w:val="00761CC9"/>
    <w:rsid w:val="0076206F"/>
    <w:rsid w:val="0076269B"/>
    <w:rsid w:val="00763813"/>
    <w:rsid w:val="007638D6"/>
    <w:rsid w:val="00763B4A"/>
    <w:rsid w:val="00763D69"/>
    <w:rsid w:val="00763EF5"/>
    <w:rsid w:val="007646F5"/>
    <w:rsid w:val="007648A4"/>
    <w:rsid w:val="00764DF9"/>
    <w:rsid w:val="00764EC4"/>
    <w:rsid w:val="00764FE7"/>
    <w:rsid w:val="007655F8"/>
    <w:rsid w:val="007658FE"/>
    <w:rsid w:val="00765D68"/>
    <w:rsid w:val="00765E58"/>
    <w:rsid w:val="0076601B"/>
    <w:rsid w:val="0076656C"/>
    <w:rsid w:val="00766951"/>
    <w:rsid w:val="00766993"/>
    <w:rsid w:val="00766F6F"/>
    <w:rsid w:val="00767135"/>
    <w:rsid w:val="00767B2C"/>
    <w:rsid w:val="007704A0"/>
    <w:rsid w:val="00770623"/>
    <w:rsid w:val="0077064F"/>
    <w:rsid w:val="00770934"/>
    <w:rsid w:val="00770AE6"/>
    <w:rsid w:val="00770DB3"/>
    <w:rsid w:val="00771083"/>
    <w:rsid w:val="0077128A"/>
    <w:rsid w:val="007715CC"/>
    <w:rsid w:val="00771881"/>
    <w:rsid w:val="00771887"/>
    <w:rsid w:val="0077244F"/>
    <w:rsid w:val="007729FC"/>
    <w:rsid w:val="00772B7A"/>
    <w:rsid w:val="00772BA7"/>
    <w:rsid w:val="00772C77"/>
    <w:rsid w:val="00772F98"/>
    <w:rsid w:val="00772FE8"/>
    <w:rsid w:val="0077355A"/>
    <w:rsid w:val="007737A1"/>
    <w:rsid w:val="00774228"/>
    <w:rsid w:val="007742CC"/>
    <w:rsid w:val="007743C2"/>
    <w:rsid w:val="007749D4"/>
    <w:rsid w:val="00774B73"/>
    <w:rsid w:val="00774C0F"/>
    <w:rsid w:val="00774FFE"/>
    <w:rsid w:val="00775305"/>
    <w:rsid w:val="007755E7"/>
    <w:rsid w:val="00775966"/>
    <w:rsid w:val="007759A5"/>
    <w:rsid w:val="007759D3"/>
    <w:rsid w:val="00775B78"/>
    <w:rsid w:val="0077631F"/>
    <w:rsid w:val="00776773"/>
    <w:rsid w:val="00776829"/>
    <w:rsid w:val="00776A72"/>
    <w:rsid w:val="00776B60"/>
    <w:rsid w:val="00776B91"/>
    <w:rsid w:val="00776BE5"/>
    <w:rsid w:val="00777269"/>
    <w:rsid w:val="00777339"/>
    <w:rsid w:val="00777679"/>
    <w:rsid w:val="00777B41"/>
    <w:rsid w:val="007800EA"/>
    <w:rsid w:val="0078086D"/>
    <w:rsid w:val="0078098D"/>
    <w:rsid w:val="00780A66"/>
    <w:rsid w:val="00780A90"/>
    <w:rsid w:val="00781DF6"/>
    <w:rsid w:val="007822B3"/>
    <w:rsid w:val="0078247A"/>
    <w:rsid w:val="00782669"/>
    <w:rsid w:val="00782A19"/>
    <w:rsid w:val="00782AC8"/>
    <w:rsid w:val="00782C7E"/>
    <w:rsid w:val="00782D2B"/>
    <w:rsid w:val="00782EA5"/>
    <w:rsid w:val="0078321F"/>
    <w:rsid w:val="00783611"/>
    <w:rsid w:val="00783CD5"/>
    <w:rsid w:val="00783D47"/>
    <w:rsid w:val="00783FE3"/>
    <w:rsid w:val="007840BE"/>
    <w:rsid w:val="0078446B"/>
    <w:rsid w:val="0078492B"/>
    <w:rsid w:val="00784BC2"/>
    <w:rsid w:val="00784E0D"/>
    <w:rsid w:val="00784EA9"/>
    <w:rsid w:val="00785B6E"/>
    <w:rsid w:val="00785E43"/>
    <w:rsid w:val="00785FE0"/>
    <w:rsid w:val="007860F7"/>
    <w:rsid w:val="007866D3"/>
    <w:rsid w:val="00786A17"/>
    <w:rsid w:val="00786C12"/>
    <w:rsid w:val="00786D18"/>
    <w:rsid w:val="00787037"/>
    <w:rsid w:val="0078727C"/>
    <w:rsid w:val="0078778A"/>
    <w:rsid w:val="00787B83"/>
    <w:rsid w:val="00787CB5"/>
    <w:rsid w:val="007900D6"/>
    <w:rsid w:val="007901E5"/>
    <w:rsid w:val="0079023B"/>
    <w:rsid w:val="007904D4"/>
    <w:rsid w:val="00790731"/>
    <w:rsid w:val="00790863"/>
    <w:rsid w:val="00790C8F"/>
    <w:rsid w:val="00790F1F"/>
    <w:rsid w:val="00791127"/>
    <w:rsid w:val="00791278"/>
    <w:rsid w:val="00791369"/>
    <w:rsid w:val="00791AD4"/>
    <w:rsid w:val="007925D9"/>
    <w:rsid w:val="0079275D"/>
    <w:rsid w:val="0079281F"/>
    <w:rsid w:val="00792A51"/>
    <w:rsid w:val="00792E84"/>
    <w:rsid w:val="00792F0B"/>
    <w:rsid w:val="007932E2"/>
    <w:rsid w:val="00793499"/>
    <w:rsid w:val="007934CD"/>
    <w:rsid w:val="00793E00"/>
    <w:rsid w:val="00793FB9"/>
    <w:rsid w:val="0079434F"/>
    <w:rsid w:val="007943FD"/>
    <w:rsid w:val="007944D2"/>
    <w:rsid w:val="00794B87"/>
    <w:rsid w:val="00794DCD"/>
    <w:rsid w:val="00795087"/>
    <w:rsid w:val="007950FC"/>
    <w:rsid w:val="00795D5B"/>
    <w:rsid w:val="00795E4E"/>
    <w:rsid w:val="00795E8D"/>
    <w:rsid w:val="0079661D"/>
    <w:rsid w:val="0079664D"/>
    <w:rsid w:val="0079696E"/>
    <w:rsid w:val="00796C5A"/>
    <w:rsid w:val="007974CC"/>
    <w:rsid w:val="00797848"/>
    <w:rsid w:val="00797D62"/>
    <w:rsid w:val="00797E4D"/>
    <w:rsid w:val="00797EC3"/>
    <w:rsid w:val="007A0046"/>
    <w:rsid w:val="007A0162"/>
    <w:rsid w:val="007A09D5"/>
    <w:rsid w:val="007A0A4B"/>
    <w:rsid w:val="007A0BCF"/>
    <w:rsid w:val="007A0C82"/>
    <w:rsid w:val="007A0CE2"/>
    <w:rsid w:val="007A14D9"/>
    <w:rsid w:val="007A17B6"/>
    <w:rsid w:val="007A18B2"/>
    <w:rsid w:val="007A1AFE"/>
    <w:rsid w:val="007A1DBE"/>
    <w:rsid w:val="007A1EF6"/>
    <w:rsid w:val="007A1FCB"/>
    <w:rsid w:val="007A215E"/>
    <w:rsid w:val="007A2744"/>
    <w:rsid w:val="007A2BC6"/>
    <w:rsid w:val="007A350D"/>
    <w:rsid w:val="007A41F4"/>
    <w:rsid w:val="007A46C4"/>
    <w:rsid w:val="007A4856"/>
    <w:rsid w:val="007A4B0B"/>
    <w:rsid w:val="007A5AC3"/>
    <w:rsid w:val="007A643E"/>
    <w:rsid w:val="007A69C2"/>
    <w:rsid w:val="007A70C6"/>
    <w:rsid w:val="007A74D1"/>
    <w:rsid w:val="007A7926"/>
    <w:rsid w:val="007B015E"/>
    <w:rsid w:val="007B0160"/>
    <w:rsid w:val="007B0438"/>
    <w:rsid w:val="007B04A8"/>
    <w:rsid w:val="007B073B"/>
    <w:rsid w:val="007B0779"/>
    <w:rsid w:val="007B0DC2"/>
    <w:rsid w:val="007B0E45"/>
    <w:rsid w:val="007B0FDF"/>
    <w:rsid w:val="007B1010"/>
    <w:rsid w:val="007B10D1"/>
    <w:rsid w:val="007B124B"/>
    <w:rsid w:val="007B164B"/>
    <w:rsid w:val="007B17D6"/>
    <w:rsid w:val="007B17ED"/>
    <w:rsid w:val="007B1972"/>
    <w:rsid w:val="007B1CA2"/>
    <w:rsid w:val="007B1DDA"/>
    <w:rsid w:val="007B20EE"/>
    <w:rsid w:val="007B2880"/>
    <w:rsid w:val="007B2B1C"/>
    <w:rsid w:val="007B34E8"/>
    <w:rsid w:val="007B366A"/>
    <w:rsid w:val="007B366C"/>
    <w:rsid w:val="007B3698"/>
    <w:rsid w:val="007B36FC"/>
    <w:rsid w:val="007B3BFA"/>
    <w:rsid w:val="007B3D94"/>
    <w:rsid w:val="007B3E00"/>
    <w:rsid w:val="007B3EA9"/>
    <w:rsid w:val="007B414F"/>
    <w:rsid w:val="007B429E"/>
    <w:rsid w:val="007B48CB"/>
    <w:rsid w:val="007B4AB3"/>
    <w:rsid w:val="007B4BB0"/>
    <w:rsid w:val="007B4C2D"/>
    <w:rsid w:val="007B4DE8"/>
    <w:rsid w:val="007B4E35"/>
    <w:rsid w:val="007B5014"/>
    <w:rsid w:val="007B510D"/>
    <w:rsid w:val="007B580B"/>
    <w:rsid w:val="007B59F4"/>
    <w:rsid w:val="007B610F"/>
    <w:rsid w:val="007B6497"/>
    <w:rsid w:val="007B651E"/>
    <w:rsid w:val="007B6533"/>
    <w:rsid w:val="007B66D2"/>
    <w:rsid w:val="007B6B3D"/>
    <w:rsid w:val="007B6C85"/>
    <w:rsid w:val="007B7333"/>
    <w:rsid w:val="007B73F5"/>
    <w:rsid w:val="007B7517"/>
    <w:rsid w:val="007B7769"/>
    <w:rsid w:val="007B7BA2"/>
    <w:rsid w:val="007B7F28"/>
    <w:rsid w:val="007C0440"/>
    <w:rsid w:val="007C08A9"/>
    <w:rsid w:val="007C099A"/>
    <w:rsid w:val="007C0A4B"/>
    <w:rsid w:val="007C0C91"/>
    <w:rsid w:val="007C12DB"/>
    <w:rsid w:val="007C12DC"/>
    <w:rsid w:val="007C1895"/>
    <w:rsid w:val="007C1C71"/>
    <w:rsid w:val="007C1FF2"/>
    <w:rsid w:val="007C2088"/>
    <w:rsid w:val="007C2350"/>
    <w:rsid w:val="007C2536"/>
    <w:rsid w:val="007C3395"/>
    <w:rsid w:val="007C39A7"/>
    <w:rsid w:val="007C3C48"/>
    <w:rsid w:val="007C42F3"/>
    <w:rsid w:val="007C45C9"/>
    <w:rsid w:val="007C47B7"/>
    <w:rsid w:val="007C4985"/>
    <w:rsid w:val="007C4B25"/>
    <w:rsid w:val="007C4CBC"/>
    <w:rsid w:val="007C51EE"/>
    <w:rsid w:val="007C5329"/>
    <w:rsid w:val="007C5573"/>
    <w:rsid w:val="007C57B5"/>
    <w:rsid w:val="007C5E84"/>
    <w:rsid w:val="007C5EF8"/>
    <w:rsid w:val="007C6292"/>
    <w:rsid w:val="007C661B"/>
    <w:rsid w:val="007C6644"/>
    <w:rsid w:val="007C6E25"/>
    <w:rsid w:val="007C6E9D"/>
    <w:rsid w:val="007C6F90"/>
    <w:rsid w:val="007C700E"/>
    <w:rsid w:val="007C70E4"/>
    <w:rsid w:val="007C70F0"/>
    <w:rsid w:val="007C72E9"/>
    <w:rsid w:val="007C7BBF"/>
    <w:rsid w:val="007C7F50"/>
    <w:rsid w:val="007C7FCB"/>
    <w:rsid w:val="007D03BC"/>
    <w:rsid w:val="007D0795"/>
    <w:rsid w:val="007D07A2"/>
    <w:rsid w:val="007D08E2"/>
    <w:rsid w:val="007D09DE"/>
    <w:rsid w:val="007D0D1E"/>
    <w:rsid w:val="007D0FCD"/>
    <w:rsid w:val="007D11A4"/>
    <w:rsid w:val="007D1626"/>
    <w:rsid w:val="007D1C11"/>
    <w:rsid w:val="007D2203"/>
    <w:rsid w:val="007D2842"/>
    <w:rsid w:val="007D28E5"/>
    <w:rsid w:val="007D3037"/>
    <w:rsid w:val="007D3306"/>
    <w:rsid w:val="007D33A7"/>
    <w:rsid w:val="007D3469"/>
    <w:rsid w:val="007D34DB"/>
    <w:rsid w:val="007D35B5"/>
    <w:rsid w:val="007D3B1B"/>
    <w:rsid w:val="007D3F79"/>
    <w:rsid w:val="007D410E"/>
    <w:rsid w:val="007D41EA"/>
    <w:rsid w:val="007D43C6"/>
    <w:rsid w:val="007D4438"/>
    <w:rsid w:val="007D44CF"/>
    <w:rsid w:val="007D4A3D"/>
    <w:rsid w:val="007D558E"/>
    <w:rsid w:val="007D55A4"/>
    <w:rsid w:val="007D5936"/>
    <w:rsid w:val="007D5C07"/>
    <w:rsid w:val="007D5DB5"/>
    <w:rsid w:val="007D6151"/>
    <w:rsid w:val="007D6209"/>
    <w:rsid w:val="007D632C"/>
    <w:rsid w:val="007D68DC"/>
    <w:rsid w:val="007D6922"/>
    <w:rsid w:val="007D6A04"/>
    <w:rsid w:val="007D6BC5"/>
    <w:rsid w:val="007D6F44"/>
    <w:rsid w:val="007D6F5A"/>
    <w:rsid w:val="007D6FC4"/>
    <w:rsid w:val="007D72A8"/>
    <w:rsid w:val="007D74F8"/>
    <w:rsid w:val="007D782A"/>
    <w:rsid w:val="007D7B81"/>
    <w:rsid w:val="007E0B12"/>
    <w:rsid w:val="007E0DC2"/>
    <w:rsid w:val="007E0E9C"/>
    <w:rsid w:val="007E132F"/>
    <w:rsid w:val="007E16DE"/>
    <w:rsid w:val="007E1AFB"/>
    <w:rsid w:val="007E1C20"/>
    <w:rsid w:val="007E2442"/>
    <w:rsid w:val="007E245C"/>
    <w:rsid w:val="007E25EE"/>
    <w:rsid w:val="007E26F2"/>
    <w:rsid w:val="007E2D89"/>
    <w:rsid w:val="007E310D"/>
    <w:rsid w:val="007E32AC"/>
    <w:rsid w:val="007E3366"/>
    <w:rsid w:val="007E34EE"/>
    <w:rsid w:val="007E36C3"/>
    <w:rsid w:val="007E3722"/>
    <w:rsid w:val="007E3956"/>
    <w:rsid w:val="007E3C37"/>
    <w:rsid w:val="007E4158"/>
    <w:rsid w:val="007E42FA"/>
    <w:rsid w:val="007E4467"/>
    <w:rsid w:val="007E4881"/>
    <w:rsid w:val="007E4AB1"/>
    <w:rsid w:val="007E4AF0"/>
    <w:rsid w:val="007E4CA2"/>
    <w:rsid w:val="007E4D44"/>
    <w:rsid w:val="007E5024"/>
    <w:rsid w:val="007E523E"/>
    <w:rsid w:val="007E5F50"/>
    <w:rsid w:val="007E64C3"/>
    <w:rsid w:val="007E6546"/>
    <w:rsid w:val="007E6D20"/>
    <w:rsid w:val="007E6DE5"/>
    <w:rsid w:val="007E6E90"/>
    <w:rsid w:val="007E719C"/>
    <w:rsid w:val="007E726D"/>
    <w:rsid w:val="007E7B0D"/>
    <w:rsid w:val="007F02B2"/>
    <w:rsid w:val="007F03D3"/>
    <w:rsid w:val="007F0797"/>
    <w:rsid w:val="007F0957"/>
    <w:rsid w:val="007F103F"/>
    <w:rsid w:val="007F1113"/>
    <w:rsid w:val="007F14E7"/>
    <w:rsid w:val="007F1CFB"/>
    <w:rsid w:val="007F1F82"/>
    <w:rsid w:val="007F242E"/>
    <w:rsid w:val="007F287E"/>
    <w:rsid w:val="007F29D5"/>
    <w:rsid w:val="007F2A03"/>
    <w:rsid w:val="007F2D4D"/>
    <w:rsid w:val="007F2DB3"/>
    <w:rsid w:val="007F3147"/>
    <w:rsid w:val="007F392D"/>
    <w:rsid w:val="007F3AB5"/>
    <w:rsid w:val="007F402D"/>
    <w:rsid w:val="007F44E1"/>
    <w:rsid w:val="007F5895"/>
    <w:rsid w:val="007F6B9D"/>
    <w:rsid w:val="007F6BAE"/>
    <w:rsid w:val="007F70F9"/>
    <w:rsid w:val="007F71C8"/>
    <w:rsid w:val="007F73A0"/>
    <w:rsid w:val="007F7C7C"/>
    <w:rsid w:val="007F7E37"/>
    <w:rsid w:val="00800258"/>
    <w:rsid w:val="00800439"/>
    <w:rsid w:val="0080082C"/>
    <w:rsid w:val="00800903"/>
    <w:rsid w:val="0080097A"/>
    <w:rsid w:val="00801333"/>
    <w:rsid w:val="00801853"/>
    <w:rsid w:val="00801C23"/>
    <w:rsid w:val="00801D10"/>
    <w:rsid w:val="00801D24"/>
    <w:rsid w:val="00801DEF"/>
    <w:rsid w:val="00802386"/>
    <w:rsid w:val="008027B2"/>
    <w:rsid w:val="00803168"/>
    <w:rsid w:val="0080356E"/>
    <w:rsid w:val="00803754"/>
    <w:rsid w:val="00803C12"/>
    <w:rsid w:val="00803DF3"/>
    <w:rsid w:val="008049D7"/>
    <w:rsid w:val="008050B7"/>
    <w:rsid w:val="00805365"/>
    <w:rsid w:val="00805378"/>
    <w:rsid w:val="00805BC6"/>
    <w:rsid w:val="00806069"/>
    <w:rsid w:val="00806233"/>
    <w:rsid w:val="0080624C"/>
    <w:rsid w:val="00806659"/>
    <w:rsid w:val="008069DC"/>
    <w:rsid w:val="00806B54"/>
    <w:rsid w:val="00807031"/>
    <w:rsid w:val="0080797F"/>
    <w:rsid w:val="00807C60"/>
    <w:rsid w:val="00810004"/>
    <w:rsid w:val="0081024F"/>
    <w:rsid w:val="008104AA"/>
    <w:rsid w:val="008107E0"/>
    <w:rsid w:val="00810C42"/>
    <w:rsid w:val="008110F1"/>
    <w:rsid w:val="0081147A"/>
    <w:rsid w:val="008114CF"/>
    <w:rsid w:val="008115CE"/>
    <w:rsid w:val="00811A5C"/>
    <w:rsid w:val="008123AE"/>
    <w:rsid w:val="00812477"/>
    <w:rsid w:val="008126C2"/>
    <w:rsid w:val="00812E91"/>
    <w:rsid w:val="008135C8"/>
    <w:rsid w:val="0081361F"/>
    <w:rsid w:val="00813B56"/>
    <w:rsid w:val="00813D3A"/>
    <w:rsid w:val="00813E8F"/>
    <w:rsid w:val="00813F69"/>
    <w:rsid w:val="00814027"/>
    <w:rsid w:val="0081424D"/>
    <w:rsid w:val="008144AD"/>
    <w:rsid w:val="00814531"/>
    <w:rsid w:val="008145A5"/>
    <w:rsid w:val="00814671"/>
    <w:rsid w:val="0081469B"/>
    <w:rsid w:val="0081499C"/>
    <w:rsid w:val="00814C16"/>
    <w:rsid w:val="008150E8"/>
    <w:rsid w:val="0081519F"/>
    <w:rsid w:val="00815348"/>
    <w:rsid w:val="00815646"/>
    <w:rsid w:val="00815868"/>
    <w:rsid w:val="00815C77"/>
    <w:rsid w:val="00815DDB"/>
    <w:rsid w:val="00816265"/>
    <w:rsid w:val="00816295"/>
    <w:rsid w:val="008162AE"/>
    <w:rsid w:val="008169EC"/>
    <w:rsid w:val="00816C4E"/>
    <w:rsid w:val="00816D93"/>
    <w:rsid w:val="00816E8D"/>
    <w:rsid w:val="0081707C"/>
    <w:rsid w:val="008171B7"/>
    <w:rsid w:val="0081760E"/>
    <w:rsid w:val="00817CA7"/>
    <w:rsid w:val="00820281"/>
    <w:rsid w:val="00820326"/>
    <w:rsid w:val="00820494"/>
    <w:rsid w:val="008206EC"/>
    <w:rsid w:val="0082098E"/>
    <w:rsid w:val="00820FB7"/>
    <w:rsid w:val="008216E6"/>
    <w:rsid w:val="0082189A"/>
    <w:rsid w:val="00821A18"/>
    <w:rsid w:val="00822249"/>
    <w:rsid w:val="008227E5"/>
    <w:rsid w:val="00823073"/>
    <w:rsid w:val="0082384A"/>
    <w:rsid w:val="00823B14"/>
    <w:rsid w:val="00823E95"/>
    <w:rsid w:val="0082414C"/>
    <w:rsid w:val="00824464"/>
    <w:rsid w:val="00824B72"/>
    <w:rsid w:val="00824DB6"/>
    <w:rsid w:val="008254E9"/>
    <w:rsid w:val="00825646"/>
    <w:rsid w:val="00825A10"/>
    <w:rsid w:val="0082605A"/>
    <w:rsid w:val="0082624A"/>
    <w:rsid w:val="00826C17"/>
    <w:rsid w:val="008279CF"/>
    <w:rsid w:val="00827A39"/>
    <w:rsid w:val="0083000A"/>
    <w:rsid w:val="0083018F"/>
    <w:rsid w:val="008302F9"/>
    <w:rsid w:val="008311AF"/>
    <w:rsid w:val="008311DD"/>
    <w:rsid w:val="008315E1"/>
    <w:rsid w:val="00831ED1"/>
    <w:rsid w:val="00831F99"/>
    <w:rsid w:val="0083204B"/>
    <w:rsid w:val="0083209D"/>
    <w:rsid w:val="0083222F"/>
    <w:rsid w:val="00833544"/>
    <w:rsid w:val="00833A16"/>
    <w:rsid w:val="00833C35"/>
    <w:rsid w:val="00833F53"/>
    <w:rsid w:val="008340C2"/>
    <w:rsid w:val="008341AE"/>
    <w:rsid w:val="00834956"/>
    <w:rsid w:val="00834BA6"/>
    <w:rsid w:val="00834F73"/>
    <w:rsid w:val="008352DF"/>
    <w:rsid w:val="00835786"/>
    <w:rsid w:val="00835883"/>
    <w:rsid w:val="00835C97"/>
    <w:rsid w:val="00835F8F"/>
    <w:rsid w:val="00836B36"/>
    <w:rsid w:val="00836D00"/>
    <w:rsid w:val="00836DD4"/>
    <w:rsid w:val="0083703B"/>
    <w:rsid w:val="008372CA"/>
    <w:rsid w:val="00837463"/>
    <w:rsid w:val="0083757A"/>
    <w:rsid w:val="008375D2"/>
    <w:rsid w:val="00837A0A"/>
    <w:rsid w:val="00837A28"/>
    <w:rsid w:val="0084017B"/>
    <w:rsid w:val="0084078C"/>
    <w:rsid w:val="00840791"/>
    <w:rsid w:val="00841BD3"/>
    <w:rsid w:val="0084220D"/>
    <w:rsid w:val="00842531"/>
    <w:rsid w:val="00842BB3"/>
    <w:rsid w:val="00842EDC"/>
    <w:rsid w:val="00842EEB"/>
    <w:rsid w:val="00843507"/>
    <w:rsid w:val="00843701"/>
    <w:rsid w:val="008441E7"/>
    <w:rsid w:val="00844591"/>
    <w:rsid w:val="008446CD"/>
    <w:rsid w:val="00844C85"/>
    <w:rsid w:val="008450F8"/>
    <w:rsid w:val="008451B0"/>
    <w:rsid w:val="0084596B"/>
    <w:rsid w:val="0084603C"/>
    <w:rsid w:val="00846087"/>
    <w:rsid w:val="00846145"/>
    <w:rsid w:val="0084624D"/>
    <w:rsid w:val="0084637A"/>
    <w:rsid w:val="00846684"/>
    <w:rsid w:val="00846ADD"/>
    <w:rsid w:val="00846D79"/>
    <w:rsid w:val="00846EF1"/>
    <w:rsid w:val="00847325"/>
    <w:rsid w:val="00847760"/>
    <w:rsid w:val="0084792C"/>
    <w:rsid w:val="00847AB6"/>
    <w:rsid w:val="00847FE6"/>
    <w:rsid w:val="008500E9"/>
    <w:rsid w:val="00850549"/>
    <w:rsid w:val="00850778"/>
    <w:rsid w:val="0085097B"/>
    <w:rsid w:val="00850CD5"/>
    <w:rsid w:val="008512BF"/>
    <w:rsid w:val="00851631"/>
    <w:rsid w:val="00851658"/>
    <w:rsid w:val="00851BD6"/>
    <w:rsid w:val="00851F66"/>
    <w:rsid w:val="0085214E"/>
    <w:rsid w:val="00852241"/>
    <w:rsid w:val="00852450"/>
    <w:rsid w:val="00852728"/>
    <w:rsid w:val="0085274C"/>
    <w:rsid w:val="008527CE"/>
    <w:rsid w:val="00852BE9"/>
    <w:rsid w:val="008539BF"/>
    <w:rsid w:val="00853C32"/>
    <w:rsid w:val="0085409D"/>
    <w:rsid w:val="008540B2"/>
    <w:rsid w:val="00854879"/>
    <w:rsid w:val="00854EB5"/>
    <w:rsid w:val="00854F47"/>
    <w:rsid w:val="0085521A"/>
    <w:rsid w:val="00855B44"/>
    <w:rsid w:val="00855C7C"/>
    <w:rsid w:val="00855D68"/>
    <w:rsid w:val="008565C2"/>
    <w:rsid w:val="008565F2"/>
    <w:rsid w:val="00856A0F"/>
    <w:rsid w:val="00856A60"/>
    <w:rsid w:val="00856C83"/>
    <w:rsid w:val="00856D03"/>
    <w:rsid w:val="0085713B"/>
    <w:rsid w:val="00857662"/>
    <w:rsid w:val="008576A0"/>
    <w:rsid w:val="00857BA9"/>
    <w:rsid w:val="00857C7F"/>
    <w:rsid w:val="00857CFA"/>
    <w:rsid w:val="008601BA"/>
    <w:rsid w:val="00860329"/>
    <w:rsid w:val="00860361"/>
    <w:rsid w:val="00860466"/>
    <w:rsid w:val="00860492"/>
    <w:rsid w:val="00860608"/>
    <w:rsid w:val="00860846"/>
    <w:rsid w:val="00860DCD"/>
    <w:rsid w:val="00861406"/>
    <w:rsid w:val="008614E3"/>
    <w:rsid w:val="00861638"/>
    <w:rsid w:val="008618BC"/>
    <w:rsid w:val="00861A24"/>
    <w:rsid w:val="00861D81"/>
    <w:rsid w:val="00861DBE"/>
    <w:rsid w:val="0086209B"/>
    <w:rsid w:val="00862109"/>
    <w:rsid w:val="00862138"/>
    <w:rsid w:val="0086222E"/>
    <w:rsid w:val="008625C3"/>
    <w:rsid w:val="00862AA2"/>
    <w:rsid w:val="00862B11"/>
    <w:rsid w:val="00862C36"/>
    <w:rsid w:val="00862DE2"/>
    <w:rsid w:val="00862F2B"/>
    <w:rsid w:val="00862FB8"/>
    <w:rsid w:val="00862FE0"/>
    <w:rsid w:val="0086316C"/>
    <w:rsid w:val="00863EEC"/>
    <w:rsid w:val="008641D7"/>
    <w:rsid w:val="008642CE"/>
    <w:rsid w:val="008645BF"/>
    <w:rsid w:val="0086473E"/>
    <w:rsid w:val="00864760"/>
    <w:rsid w:val="00864AFD"/>
    <w:rsid w:val="00864ECD"/>
    <w:rsid w:val="0086506A"/>
    <w:rsid w:val="008651FD"/>
    <w:rsid w:val="00865AD4"/>
    <w:rsid w:val="00865C74"/>
    <w:rsid w:val="00866371"/>
    <w:rsid w:val="00866506"/>
    <w:rsid w:val="008665BC"/>
    <w:rsid w:val="00866A4C"/>
    <w:rsid w:val="00866C0C"/>
    <w:rsid w:val="00866F9E"/>
    <w:rsid w:val="00867CBA"/>
    <w:rsid w:val="00867EF7"/>
    <w:rsid w:val="008702D0"/>
    <w:rsid w:val="0087045E"/>
    <w:rsid w:val="0087050D"/>
    <w:rsid w:val="0087072F"/>
    <w:rsid w:val="008708D0"/>
    <w:rsid w:val="008708EC"/>
    <w:rsid w:val="00870AD6"/>
    <w:rsid w:val="00871712"/>
    <w:rsid w:val="00871925"/>
    <w:rsid w:val="00871B93"/>
    <w:rsid w:val="00871DBB"/>
    <w:rsid w:val="00871FE1"/>
    <w:rsid w:val="00872DA6"/>
    <w:rsid w:val="00872F7C"/>
    <w:rsid w:val="00873574"/>
    <w:rsid w:val="008735F5"/>
    <w:rsid w:val="00873703"/>
    <w:rsid w:val="00873808"/>
    <w:rsid w:val="00874615"/>
    <w:rsid w:val="00874A4C"/>
    <w:rsid w:val="00874AE6"/>
    <w:rsid w:val="00874C50"/>
    <w:rsid w:val="00874CC5"/>
    <w:rsid w:val="00875298"/>
    <w:rsid w:val="00875542"/>
    <w:rsid w:val="008755A4"/>
    <w:rsid w:val="00875A52"/>
    <w:rsid w:val="00875C7D"/>
    <w:rsid w:val="00875F11"/>
    <w:rsid w:val="0087650C"/>
    <w:rsid w:val="008769D2"/>
    <w:rsid w:val="00876D4D"/>
    <w:rsid w:val="00876E9F"/>
    <w:rsid w:val="00877BD0"/>
    <w:rsid w:val="00877BEE"/>
    <w:rsid w:val="00877E93"/>
    <w:rsid w:val="00880147"/>
    <w:rsid w:val="0088084E"/>
    <w:rsid w:val="00880AAB"/>
    <w:rsid w:val="00880CE4"/>
    <w:rsid w:val="0088122F"/>
    <w:rsid w:val="008813A2"/>
    <w:rsid w:val="00881589"/>
    <w:rsid w:val="00881A89"/>
    <w:rsid w:val="00881E3C"/>
    <w:rsid w:val="0088219E"/>
    <w:rsid w:val="00882570"/>
    <w:rsid w:val="00882E2D"/>
    <w:rsid w:val="008830E6"/>
    <w:rsid w:val="00883111"/>
    <w:rsid w:val="00883508"/>
    <w:rsid w:val="008836AB"/>
    <w:rsid w:val="00883969"/>
    <w:rsid w:val="00883CA6"/>
    <w:rsid w:val="0088409B"/>
    <w:rsid w:val="008840B2"/>
    <w:rsid w:val="00884175"/>
    <w:rsid w:val="0088423A"/>
    <w:rsid w:val="008847E0"/>
    <w:rsid w:val="008848AD"/>
    <w:rsid w:val="00884E3A"/>
    <w:rsid w:val="00885082"/>
    <w:rsid w:val="008850F1"/>
    <w:rsid w:val="0088526E"/>
    <w:rsid w:val="00885431"/>
    <w:rsid w:val="008854EF"/>
    <w:rsid w:val="00885640"/>
    <w:rsid w:val="00885937"/>
    <w:rsid w:val="00885F1E"/>
    <w:rsid w:val="00886579"/>
    <w:rsid w:val="00886A58"/>
    <w:rsid w:val="00886C8B"/>
    <w:rsid w:val="0088719A"/>
    <w:rsid w:val="00887254"/>
    <w:rsid w:val="008873E5"/>
    <w:rsid w:val="0089047E"/>
    <w:rsid w:val="00890A0B"/>
    <w:rsid w:val="00890E93"/>
    <w:rsid w:val="00890F3D"/>
    <w:rsid w:val="008910DE"/>
    <w:rsid w:val="008913C4"/>
    <w:rsid w:val="00891411"/>
    <w:rsid w:val="0089168B"/>
    <w:rsid w:val="0089181B"/>
    <w:rsid w:val="00891886"/>
    <w:rsid w:val="00891D81"/>
    <w:rsid w:val="00891F0E"/>
    <w:rsid w:val="0089253F"/>
    <w:rsid w:val="008926CD"/>
    <w:rsid w:val="00892982"/>
    <w:rsid w:val="00892FB9"/>
    <w:rsid w:val="0089404F"/>
    <w:rsid w:val="00894564"/>
    <w:rsid w:val="00894579"/>
    <w:rsid w:val="008949FE"/>
    <w:rsid w:val="00894E8C"/>
    <w:rsid w:val="00894F3C"/>
    <w:rsid w:val="00895A8A"/>
    <w:rsid w:val="00895C4E"/>
    <w:rsid w:val="00895DBC"/>
    <w:rsid w:val="00895ECC"/>
    <w:rsid w:val="00896067"/>
    <w:rsid w:val="0089609F"/>
    <w:rsid w:val="008960D5"/>
    <w:rsid w:val="008968B8"/>
    <w:rsid w:val="00896AA5"/>
    <w:rsid w:val="00896CDA"/>
    <w:rsid w:val="00896E0F"/>
    <w:rsid w:val="0089746F"/>
    <w:rsid w:val="00897793"/>
    <w:rsid w:val="0089797B"/>
    <w:rsid w:val="008A0079"/>
    <w:rsid w:val="008A0B08"/>
    <w:rsid w:val="008A0B53"/>
    <w:rsid w:val="008A1311"/>
    <w:rsid w:val="008A1AB6"/>
    <w:rsid w:val="008A1D96"/>
    <w:rsid w:val="008A22A6"/>
    <w:rsid w:val="008A233E"/>
    <w:rsid w:val="008A24EB"/>
    <w:rsid w:val="008A2853"/>
    <w:rsid w:val="008A2C64"/>
    <w:rsid w:val="008A2C6B"/>
    <w:rsid w:val="008A2CE2"/>
    <w:rsid w:val="008A2CEF"/>
    <w:rsid w:val="008A2F7A"/>
    <w:rsid w:val="008A3254"/>
    <w:rsid w:val="008A329A"/>
    <w:rsid w:val="008A33F4"/>
    <w:rsid w:val="008A3545"/>
    <w:rsid w:val="008A35C0"/>
    <w:rsid w:val="008A35F0"/>
    <w:rsid w:val="008A38F7"/>
    <w:rsid w:val="008A395F"/>
    <w:rsid w:val="008A3AB3"/>
    <w:rsid w:val="008A41B9"/>
    <w:rsid w:val="008A4958"/>
    <w:rsid w:val="008A4D47"/>
    <w:rsid w:val="008A4E0E"/>
    <w:rsid w:val="008A4E37"/>
    <w:rsid w:val="008A506A"/>
    <w:rsid w:val="008A5161"/>
    <w:rsid w:val="008A527C"/>
    <w:rsid w:val="008A5314"/>
    <w:rsid w:val="008A592E"/>
    <w:rsid w:val="008A5B7B"/>
    <w:rsid w:val="008A5BC2"/>
    <w:rsid w:val="008A60CD"/>
    <w:rsid w:val="008A65B0"/>
    <w:rsid w:val="008A688D"/>
    <w:rsid w:val="008A6F57"/>
    <w:rsid w:val="008A75ED"/>
    <w:rsid w:val="008A7F75"/>
    <w:rsid w:val="008B01C2"/>
    <w:rsid w:val="008B01D2"/>
    <w:rsid w:val="008B029E"/>
    <w:rsid w:val="008B02ED"/>
    <w:rsid w:val="008B0B9D"/>
    <w:rsid w:val="008B0C2F"/>
    <w:rsid w:val="008B0D24"/>
    <w:rsid w:val="008B0E9A"/>
    <w:rsid w:val="008B0EAB"/>
    <w:rsid w:val="008B117C"/>
    <w:rsid w:val="008B1305"/>
    <w:rsid w:val="008B1427"/>
    <w:rsid w:val="008B1458"/>
    <w:rsid w:val="008B15BE"/>
    <w:rsid w:val="008B1934"/>
    <w:rsid w:val="008B198A"/>
    <w:rsid w:val="008B1BA8"/>
    <w:rsid w:val="008B1D7B"/>
    <w:rsid w:val="008B1DEE"/>
    <w:rsid w:val="008B2532"/>
    <w:rsid w:val="008B272C"/>
    <w:rsid w:val="008B2D9F"/>
    <w:rsid w:val="008B2DA4"/>
    <w:rsid w:val="008B2DFE"/>
    <w:rsid w:val="008B3328"/>
    <w:rsid w:val="008B3AD7"/>
    <w:rsid w:val="008B3CC7"/>
    <w:rsid w:val="008B3D50"/>
    <w:rsid w:val="008B3EA8"/>
    <w:rsid w:val="008B47FB"/>
    <w:rsid w:val="008B4BD7"/>
    <w:rsid w:val="008B4D4A"/>
    <w:rsid w:val="008B4DB1"/>
    <w:rsid w:val="008B4F36"/>
    <w:rsid w:val="008B504F"/>
    <w:rsid w:val="008B5441"/>
    <w:rsid w:val="008B576D"/>
    <w:rsid w:val="008B5C3B"/>
    <w:rsid w:val="008B5DBD"/>
    <w:rsid w:val="008B60CB"/>
    <w:rsid w:val="008B61B4"/>
    <w:rsid w:val="008B6909"/>
    <w:rsid w:val="008B69C7"/>
    <w:rsid w:val="008B6A8E"/>
    <w:rsid w:val="008B7013"/>
    <w:rsid w:val="008B70AA"/>
    <w:rsid w:val="008B71AE"/>
    <w:rsid w:val="008B7D66"/>
    <w:rsid w:val="008C01E4"/>
    <w:rsid w:val="008C0459"/>
    <w:rsid w:val="008C04C3"/>
    <w:rsid w:val="008C04E9"/>
    <w:rsid w:val="008C06F3"/>
    <w:rsid w:val="008C0979"/>
    <w:rsid w:val="008C0B71"/>
    <w:rsid w:val="008C111B"/>
    <w:rsid w:val="008C1137"/>
    <w:rsid w:val="008C1C51"/>
    <w:rsid w:val="008C1F24"/>
    <w:rsid w:val="008C240D"/>
    <w:rsid w:val="008C253E"/>
    <w:rsid w:val="008C2C00"/>
    <w:rsid w:val="008C3B29"/>
    <w:rsid w:val="008C3CC4"/>
    <w:rsid w:val="008C3FE9"/>
    <w:rsid w:val="008C41E0"/>
    <w:rsid w:val="008C45C3"/>
    <w:rsid w:val="008C4ED4"/>
    <w:rsid w:val="008C5627"/>
    <w:rsid w:val="008C5CC1"/>
    <w:rsid w:val="008C62E5"/>
    <w:rsid w:val="008C6398"/>
    <w:rsid w:val="008C68C1"/>
    <w:rsid w:val="008C71D5"/>
    <w:rsid w:val="008C72C2"/>
    <w:rsid w:val="008C7404"/>
    <w:rsid w:val="008C794B"/>
    <w:rsid w:val="008C7C93"/>
    <w:rsid w:val="008D0254"/>
    <w:rsid w:val="008D091D"/>
    <w:rsid w:val="008D0D5A"/>
    <w:rsid w:val="008D1884"/>
    <w:rsid w:val="008D188B"/>
    <w:rsid w:val="008D1A4E"/>
    <w:rsid w:val="008D24A3"/>
    <w:rsid w:val="008D24B3"/>
    <w:rsid w:val="008D26F1"/>
    <w:rsid w:val="008D280E"/>
    <w:rsid w:val="008D2AE4"/>
    <w:rsid w:val="008D2B67"/>
    <w:rsid w:val="008D2DEA"/>
    <w:rsid w:val="008D2F92"/>
    <w:rsid w:val="008D330B"/>
    <w:rsid w:val="008D37FF"/>
    <w:rsid w:val="008D40B7"/>
    <w:rsid w:val="008D4272"/>
    <w:rsid w:val="008D4B7E"/>
    <w:rsid w:val="008D519A"/>
    <w:rsid w:val="008D5C71"/>
    <w:rsid w:val="008D5E02"/>
    <w:rsid w:val="008D6073"/>
    <w:rsid w:val="008D6104"/>
    <w:rsid w:val="008D66F2"/>
    <w:rsid w:val="008D6798"/>
    <w:rsid w:val="008D6A6F"/>
    <w:rsid w:val="008D6ED3"/>
    <w:rsid w:val="008D7256"/>
    <w:rsid w:val="008D7285"/>
    <w:rsid w:val="008D72DD"/>
    <w:rsid w:val="008D746E"/>
    <w:rsid w:val="008D78E5"/>
    <w:rsid w:val="008D7A04"/>
    <w:rsid w:val="008E031D"/>
    <w:rsid w:val="008E136D"/>
    <w:rsid w:val="008E14F8"/>
    <w:rsid w:val="008E1B43"/>
    <w:rsid w:val="008E1B4B"/>
    <w:rsid w:val="008E1C81"/>
    <w:rsid w:val="008E1DAB"/>
    <w:rsid w:val="008E1E42"/>
    <w:rsid w:val="008E1F09"/>
    <w:rsid w:val="008E212A"/>
    <w:rsid w:val="008E2558"/>
    <w:rsid w:val="008E25D4"/>
    <w:rsid w:val="008E2766"/>
    <w:rsid w:val="008E2C08"/>
    <w:rsid w:val="008E2CC5"/>
    <w:rsid w:val="008E2FB5"/>
    <w:rsid w:val="008E35F5"/>
    <w:rsid w:val="008E3A57"/>
    <w:rsid w:val="008E4321"/>
    <w:rsid w:val="008E4394"/>
    <w:rsid w:val="008E44BD"/>
    <w:rsid w:val="008E461E"/>
    <w:rsid w:val="008E4E4D"/>
    <w:rsid w:val="008E524A"/>
    <w:rsid w:val="008E56DE"/>
    <w:rsid w:val="008E573F"/>
    <w:rsid w:val="008E5944"/>
    <w:rsid w:val="008E59B3"/>
    <w:rsid w:val="008E5B37"/>
    <w:rsid w:val="008E5F31"/>
    <w:rsid w:val="008E625A"/>
    <w:rsid w:val="008E65B8"/>
    <w:rsid w:val="008E68AC"/>
    <w:rsid w:val="008E68F2"/>
    <w:rsid w:val="008E692B"/>
    <w:rsid w:val="008E6D62"/>
    <w:rsid w:val="008E6FF3"/>
    <w:rsid w:val="008E7017"/>
    <w:rsid w:val="008E7381"/>
    <w:rsid w:val="008E756F"/>
    <w:rsid w:val="008E77D0"/>
    <w:rsid w:val="008F00B1"/>
    <w:rsid w:val="008F05AF"/>
    <w:rsid w:val="008F0D8D"/>
    <w:rsid w:val="008F0DD8"/>
    <w:rsid w:val="008F0EC7"/>
    <w:rsid w:val="008F123C"/>
    <w:rsid w:val="008F12E4"/>
    <w:rsid w:val="008F1691"/>
    <w:rsid w:val="008F16F3"/>
    <w:rsid w:val="008F1EE8"/>
    <w:rsid w:val="008F246B"/>
    <w:rsid w:val="008F2791"/>
    <w:rsid w:val="008F2CB4"/>
    <w:rsid w:val="008F2D25"/>
    <w:rsid w:val="008F2EE8"/>
    <w:rsid w:val="008F2F4F"/>
    <w:rsid w:val="008F3138"/>
    <w:rsid w:val="008F3214"/>
    <w:rsid w:val="008F3566"/>
    <w:rsid w:val="008F36DE"/>
    <w:rsid w:val="008F376A"/>
    <w:rsid w:val="008F38EF"/>
    <w:rsid w:val="008F4019"/>
    <w:rsid w:val="008F40E2"/>
    <w:rsid w:val="008F52CF"/>
    <w:rsid w:val="008F5855"/>
    <w:rsid w:val="008F5A60"/>
    <w:rsid w:val="008F5ADC"/>
    <w:rsid w:val="008F5D5E"/>
    <w:rsid w:val="008F601C"/>
    <w:rsid w:val="008F6200"/>
    <w:rsid w:val="008F63DA"/>
    <w:rsid w:val="008F67F4"/>
    <w:rsid w:val="008F6AD1"/>
    <w:rsid w:val="008F6B94"/>
    <w:rsid w:val="008F6C61"/>
    <w:rsid w:val="008F7196"/>
    <w:rsid w:val="008F759A"/>
    <w:rsid w:val="008F7BB1"/>
    <w:rsid w:val="008F7C1F"/>
    <w:rsid w:val="008F7C3D"/>
    <w:rsid w:val="008F7D15"/>
    <w:rsid w:val="008F7EF6"/>
    <w:rsid w:val="00900073"/>
    <w:rsid w:val="0090042C"/>
    <w:rsid w:val="00900C82"/>
    <w:rsid w:val="00900D9E"/>
    <w:rsid w:val="00900F3D"/>
    <w:rsid w:val="009013A4"/>
    <w:rsid w:val="00901542"/>
    <w:rsid w:val="00901546"/>
    <w:rsid w:val="00901A01"/>
    <w:rsid w:val="00901BF8"/>
    <w:rsid w:val="00901E05"/>
    <w:rsid w:val="00902912"/>
    <w:rsid w:val="00902A02"/>
    <w:rsid w:val="00903100"/>
    <w:rsid w:val="009031F5"/>
    <w:rsid w:val="00903524"/>
    <w:rsid w:val="00903542"/>
    <w:rsid w:val="0090358E"/>
    <w:rsid w:val="0090359C"/>
    <w:rsid w:val="0090390C"/>
    <w:rsid w:val="00903A2E"/>
    <w:rsid w:val="00903CE4"/>
    <w:rsid w:val="00904165"/>
    <w:rsid w:val="00904207"/>
    <w:rsid w:val="009043F1"/>
    <w:rsid w:val="00904879"/>
    <w:rsid w:val="009049B9"/>
    <w:rsid w:val="00904A37"/>
    <w:rsid w:val="00904EC4"/>
    <w:rsid w:val="009053DE"/>
    <w:rsid w:val="0090577E"/>
    <w:rsid w:val="00905801"/>
    <w:rsid w:val="00905A80"/>
    <w:rsid w:val="00905CA9"/>
    <w:rsid w:val="0090602C"/>
    <w:rsid w:val="0090613A"/>
    <w:rsid w:val="009068A2"/>
    <w:rsid w:val="00906908"/>
    <w:rsid w:val="00906B57"/>
    <w:rsid w:val="00906C5E"/>
    <w:rsid w:val="00906F87"/>
    <w:rsid w:val="00907300"/>
    <w:rsid w:val="009073A7"/>
    <w:rsid w:val="009073B1"/>
    <w:rsid w:val="0090744D"/>
    <w:rsid w:val="00907B4F"/>
    <w:rsid w:val="00907E1E"/>
    <w:rsid w:val="0091055C"/>
    <w:rsid w:val="0091056B"/>
    <w:rsid w:val="00910683"/>
    <w:rsid w:val="00910B83"/>
    <w:rsid w:val="00910C3E"/>
    <w:rsid w:val="0091183E"/>
    <w:rsid w:val="00912398"/>
    <w:rsid w:val="009124C3"/>
    <w:rsid w:val="00912715"/>
    <w:rsid w:val="009127BD"/>
    <w:rsid w:val="009129DA"/>
    <w:rsid w:val="009129F4"/>
    <w:rsid w:val="00912BC1"/>
    <w:rsid w:val="00912C05"/>
    <w:rsid w:val="00912DBA"/>
    <w:rsid w:val="00912E2E"/>
    <w:rsid w:val="00912E89"/>
    <w:rsid w:val="009130D8"/>
    <w:rsid w:val="00913586"/>
    <w:rsid w:val="0091372E"/>
    <w:rsid w:val="009138E9"/>
    <w:rsid w:val="0091391C"/>
    <w:rsid w:val="00913975"/>
    <w:rsid w:val="00913AF5"/>
    <w:rsid w:val="00913F32"/>
    <w:rsid w:val="0091447E"/>
    <w:rsid w:val="009147FD"/>
    <w:rsid w:val="00914A61"/>
    <w:rsid w:val="00914C58"/>
    <w:rsid w:val="009152D3"/>
    <w:rsid w:val="00915917"/>
    <w:rsid w:val="00915A03"/>
    <w:rsid w:val="00915A5C"/>
    <w:rsid w:val="0091664E"/>
    <w:rsid w:val="009168C0"/>
    <w:rsid w:val="00916ACB"/>
    <w:rsid w:val="00916CD0"/>
    <w:rsid w:val="00916E6C"/>
    <w:rsid w:val="00916F74"/>
    <w:rsid w:val="00917196"/>
    <w:rsid w:val="00917AA8"/>
    <w:rsid w:val="00917AF1"/>
    <w:rsid w:val="00920430"/>
    <w:rsid w:val="009204B2"/>
    <w:rsid w:val="00920765"/>
    <w:rsid w:val="009208E9"/>
    <w:rsid w:val="0092098A"/>
    <w:rsid w:val="00920FC8"/>
    <w:rsid w:val="00920FCB"/>
    <w:rsid w:val="009211A0"/>
    <w:rsid w:val="0092160C"/>
    <w:rsid w:val="00921C60"/>
    <w:rsid w:val="00921D37"/>
    <w:rsid w:val="00921E20"/>
    <w:rsid w:val="00921F58"/>
    <w:rsid w:val="00921FB9"/>
    <w:rsid w:val="009221DA"/>
    <w:rsid w:val="0092257C"/>
    <w:rsid w:val="00922778"/>
    <w:rsid w:val="00922D7D"/>
    <w:rsid w:val="00923179"/>
    <w:rsid w:val="009231AF"/>
    <w:rsid w:val="00923B72"/>
    <w:rsid w:val="009242FA"/>
    <w:rsid w:val="0092476C"/>
    <w:rsid w:val="009249C5"/>
    <w:rsid w:val="00924C6D"/>
    <w:rsid w:val="00924F97"/>
    <w:rsid w:val="0092531A"/>
    <w:rsid w:val="00925A6D"/>
    <w:rsid w:val="00925CF0"/>
    <w:rsid w:val="009262B5"/>
    <w:rsid w:val="009268D0"/>
    <w:rsid w:val="00926BCF"/>
    <w:rsid w:val="009270E5"/>
    <w:rsid w:val="009277B5"/>
    <w:rsid w:val="00927A26"/>
    <w:rsid w:val="00927C62"/>
    <w:rsid w:val="0093002F"/>
    <w:rsid w:val="0093017C"/>
    <w:rsid w:val="0093048A"/>
    <w:rsid w:val="009308E5"/>
    <w:rsid w:val="00930A36"/>
    <w:rsid w:val="00931358"/>
    <w:rsid w:val="0093194C"/>
    <w:rsid w:val="00931E68"/>
    <w:rsid w:val="00931E8B"/>
    <w:rsid w:val="009326E0"/>
    <w:rsid w:val="009328E8"/>
    <w:rsid w:val="00932E07"/>
    <w:rsid w:val="009333DE"/>
    <w:rsid w:val="0093385B"/>
    <w:rsid w:val="00933A50"/>
    <w:rsid w:val="00933EE1"/>
    <w:rsid w:val="00933FFB"/>
    <w:rsid w:val="009340A4"/>
    <w:rsid w:val="009345CE"/>
    <w:rsid w:val="009347F6"/>
    <w:rsid w:val="00934884"/>
    <w:rsid w:val="0093499C"/>
    <w:rsid w:val="00934B88"/>
    <w:rsid w:val="00934C62"/>
    <w:rsid w:val="00935627"/>
    <w:rsid w:val="00935A58"/>
    <w:rsid w:val="00935D2F"/>
    <w:rsid w:val="00935E40"/>
    <w:rsid w:val="00936218"/>
    <w:rsid w:val="009362D0"/>
    <w:rsid w:val="00937358"/>
    <w:rsid w:val="009376A7"/>
    <w:rsid w:val="00937790"/>
    <w:rsid w:val="009405CD"/>
    <w:rsid w:val="00940666"/>
    <w:rsid w:val="0094076A"/>
    <w:rsid w:val="009407D4"/>
    <w:rsid w:val="0094081E"/>
    <w:rsid w:val="00940A28"/>
    <w:rsid w:val="00940C4A"/>
    <w:rsid w:val="009418A0"/>
    <w:rsid w:val="009418D9"/>
    <w:rsid w:val="00941DF7"/>
    <w:rsid w:val="00941F73"/>
    <w:rsid w:val="00942481"/>
    <w:rsid w:val="00942623"/>
    <w:rsid w:val="00942810"/>
    <w:rsid w:val="0094296D"/>
    <w:rsid w:val="0094297A"/>
    <w:rsid w:val="009429DC"/>
    <w:rsid w:val="00942EDE"/>
    <w:rsid w:val="0094302C"/>
    <w:rsid w:val="0094386C"/>
    <w:rsid w:val="009438CE"/>
    <w:rsid w:val="00943FDE"/>
    <w:rsid w:val="00944070"/>
    <w:rsid w:val="0094440B"/>
    <w:rsid w:val="0094443B"/>
    <w:rsid w:val="009446BF"/>
    <w:rsid w:val="009448FC"/>
    <w:rsid w:val="00944FF0"/>
    <w:rsid w:val="0094514E"/>
    <w:rsid w:val="009452B8"/>
    <w:rsid w:val="009453A8"/>
    <w:rsid w:val="00945DE6"/>
    <w:rsid w:val="00946361"/>
    <w:rsid w:val="00946E92"/>
    <w:rsid w:val="00946F53"/>
    <w:rsid w:val="00947709"/>
    <w:rsid w:val="00947A65"/>
    <w:rsid w:val="00947B13"/>
    <w:rsid w:val="00947BA3"/>
    <w:rsid w:val="00947BFD"/>
    <w:rsid w:val="00947E01"/>
    <w:rsid w:val="00950000"/>
    <w:rsid w:val="00950204"/>
    <w:rsid w:val="009504F1"/>
    <w:rsid w:val="0095061A"/>
    <w:rsid w:val="0095086A"/>
    <w:rsid w:val="00950B90"/>
    <w:rsid w:val="00950C19"/>
    <w:rsid w:val="00950C6B"/>
    <w:rsid w:val="009516AF"/>
    <w:rsid w:val="009519D8"/>
    <w:rsid w:val="00951E1D"/>
    <w:rsid w:val="00951EEE"/>
    <w:rsid w:val="0095232B"/>
    <w:rsid w:val="009523E4"/>
    <w:rsid w:val="00952EB6"/>
    <w:rsid w:val="00952EDA"/>
    <w:rsid w:val="009537AC"/>
    <w:rsid w:val="009539D9"/>
    <w:rsid w:val="00953F3E"/>
    <w:rsid w:val="009549B5"/>
    <w:rsid w:val="00954D6B"/>
    <w:rsid w:val="00955019"/>
    <w:rsid w:val="0095529A"/>
    <w:rsid w:val="009555CC"/>
    <w:rsid w:val="0095569E"/>
    <w:rsid w:val="00955944"/>
    <w:rsid w:val="00955E14"/>
    <w:rsid w:val="0095615D"/>
    <w:rsid w:val="0095626C"/>
    <w:rsid w:val="00957275"/>
    <w:rsid w:val="009572F1"/>
    <w:rsid w:val="00957352"/>
    <w:rsid w:val="0095774A"/>
    <w:rsid w:val="00957CD8"/>
    <w:rsid w:val="00960440"/>
    <w:rsid w:val="00960450"/>
    <w:rsid w:val="00960A61"/>
    <w:rsid w:val="00960E6F"/>
    <w:rsid w:val="009614F8"/>
    <w:rsid w:val="00961697"/>
    <w:rsid w:val="0096180F"/>
    <w:rsid w:val="0096182E"/>
    <w:rsid w:val="00961A1E"/>
    <w:rsid w:val="00961B60"/>
    <w:rsid w:val="00961D75"/>
    <w:rsid w:val="00961FD4"/>
    <w:rsid w:val="009622D3"/>
    <w:rsid w:val="009626BA"/>
    <w:rsid w:val="00962811"/>
    <w:rsid w:val="00962A4B"/>
    <w:rsid w:val="00962FBD"/>
    <w:rsid w:val="00963000"/>
    <w:rsid w:val="009636D9"/>
    <w:rsid w:val="00963841"/>
    <w:rsid w:val="00963993"/>
    <w:rsid w:val="00963B0C"/>
    <w:rsid w:val="00964173"/>
    <w:rsid w:val="00964254"/>
    <w:rsid w:val="0096427D"/>
    <w:rsid w:val="009647BB"/>
    <w:rsid w:val="00964D03"/>
    <w:rsid w:val="00964ECC"/>
    <w:rsid w:val="00964FED"/>
    <w:rsid w:val="009655E1"/>
    <w:rsid w:val="00965801"/>
    <w:rsid w:val="00965CFB"/>
    <w:rsid w:val="00965D16"/>
    <w:rsid w:val="00966484"/>
    <w:rsid w:val="00966664"/>
    <w:rsid w:val="0096737D"/>
    <w:rsid w:val="00967590"/>
    <w:rsid w:val="00967B2A"/>
    <w:rsid w:val="00967B75"/>
    <w:rsid w:val="00967C86"/>
    <w:rsid w:val="00970199"/>
    <w:rsid w:val="00970674"/>
    <w:rsid w:val="0097089A"/>
    <w:rsid w:val="009709E2"/>
    <w:rsid w:val="00970D1B"/>
    <w:rsid w:val="009712CB"/>
    <w:rsid w:val="009713FF"/>
    <w:rsid w:val="009714F4"/>
    <w:rsid w:val="009718A3"/>
    <w:rsid w:val="00971C95"/>
    <w:rsid w:val="00971F2F"/>
    <w:rsid w:val="009722A9"/>
    <w:rsid w:val="00972380"/>
    <w:rsid w:val="009728D1"/>
    <w:rsid w:val="00972948"/>
    <w:rsid w:val="00972A33"/>
    <w:rsid w:val="00972DC8"/>
    <w:rsid w:val="00972F3A"/>
    <w:rsid w:val="009731D9"/>
    <w:rsid w:val="009734AF"/>
    <w:rsid w:val="00973E37"/>
    <w:rsid w:val="00974022"/>
    <w:rsid w:val="009742C6"/>
    <w:rsid w:val="009742D0"/>
    <w:rsid w:val="00974423"/>
    <w:rsid w:val="0097505C"/>
    <w:rsid w:val="0097581C"/>
    <w:rsid w:val="00975CCC"/>
    <w:rsid w:val="00975F8C"/>
    <w:rsid w:val="0097607A"/>
    <w:rsid w:val="0097657C"/>
    <w:rsid w:val="009769E9"/>
    <w:rsid w:val="009771F5"/>
    <w:rsid w:val="00977370"/>
    <w:rsid w:val="00977398"/>
    <w:rsid w:val="00977E29"/>
    <w:rsid w:val="00980021"/>
    <w:rsid w:val="00980360"/>
    <w:rsid w:val="009805F3"/>
    <w:rsid w:val="009809B0"/>
    <w:rsid w:val="00980F2E"/>
    <w:rsid w:val="009811F4"/>
    <w:rsid w:val="009817B0"/>
    <w:rsid w:val="00981DEA"/>
    <w:rsid w:val="00982877"/>
    <w:rsid w:val="00982CB4"/>
    <w:rsid w:val="009831C0"/>
    <w:rsid w:val="009831E6"/>
    <w:rsid w:val="0098340A"/>
    <w:rsid w:val="009834FF"/>
    <w:rsid w:val="009839C9"/>
    <w:rsid w:val="00983CBA"/>
    <w:rsid w:val="00983CFE"/>
    <w:rsid w:val="00983D11"/>
    <w:rsid w:val="00983E66"/>
    <w:rsid w:val="00983F48"/>
    <w:rsid w:val="00984197"/>
    <w:rsid w:val="009842F2"/>
    <w:rsid w:val="009844B2"/>
    <w:rsid w:val="00984744"/>
    <w:rsid w:val="00984957"/>
    <w:rsid w:val="00984F62"/>
    <w:rsid w:val="009851E8"/>
    <w:rsid w:val="0098541D"/>
    <w:rsid w:val="00985552"/>
    <w:rsid w:val="009858FB"/>
    <w:rsid w:val="00985A4D"/>
    <w:rsid w:val="0098608D"/>
    <w:rsid w:val="00986561"/>
    <w:rsid w:val="0098658B"/>
    <w:rsid w:val="009865D4"/>
    <w:rsid w:val="00986E39"/>
    <w:rsid w:val="009872C7"/>
    <w:rsid w:val="00987B52"/>
    <w:rsid w:val="00987DC9"/>
    <w:rsid w:val="009902F0"/>
    <w:rsid w:val="009906D8"/>
    <w:rsid w:val="00990735"/>
    <w:rsid w:val="0099091F"/>
    <w:rsid w:val="00990BCB"/>
    <w:rsid w:val="0099113A"/>
    <w:rsid w:val="009917C2"/>
    <w:rsid w:val="00991981"/>
    <w:rsid w:val="00991CA3"/>
    <w:rsid w:val="0099242A"/>
    <w:rsid w:val="009925C5"/>
    <w:rsid w:val="009925DE"/>
    <w:rsid w:val="0099269E"/>
    <w:rsid w:val="009926C8"/>
    <w:rsid w:val="00992C72"/>
    <w:rsid w:val="00992FFC"/>
    <w:rsid w:val="00993089"/>
    <w:rsid w:val="00993909"/>
    <w:rsid w:val="0099410A"/>
    <w:rsid w:val="0099437F"/>
    <w:rsid w:val="009948FA"/>
    <w:rsid w:val="00994B15"/>
    <w:rsid w:val="00994CB4"/>
    <w:rsid w:val="0099527F"/>
    <w:rsid w:val="009956E0"/>
    <w:rsid w:val="009956F6"/>
    <w:rsid w:val="0099580A"/>
    <w:rsid w:val="00995976"/>
    <w:rsid w:val="009959E7"/>
    <w:rsid w:val="00995D2D"/>
    <w:rsid w:val="00996336"/>
    <w:rsid w:val="0099637D"/>
    <w:rsid w:val="009964D6"/>
    <w:rsid w:val="00996729"/>
    <w:rsid w:val="00996835"/>
    <w:rsid w:val="00996A35"/>
    <w:rsid w:val="00996ABB"/>
    <w:rsid w:val="0099734C"/>
    <w:rsid w:val="0099749B"/>
    <w:rsid w:val="009974CC"/>
    <w:rsid w:val="009975C9"/>
    <w:rsid w:val="00997AB9"/>
    <w:rsid w:val="00997FA5"/>
    <w:rsid w:val="009A0622"/>
    <w:rsid w:val="009A0696"/>
    <w:rsid w:val="009A06FA"/>
    <w:rsid w:val="009A0747"/>
    <w:rsid w:val="009A094C"/>
    <w:rsid w:val="009A17AE"/>
    <w:rsid w:val="009A17F4"/>
    <w:rsid w:val="009A1869"/>
    <w:rsid w:val="009A1946"/>
    <w:rsid w:val="009A228F"/>
    <w:rsid w:val="009A2AC7"/>
    <w:rsid w:val="009A34CA"/>
    <w:rsid w:val="009A3527"/>
    <w:rsid w:val="009A37D6"/>
    <w:rsid w:val="009A3816"/>
    <w:rsid w:val="009A3B1D"/>
    <w:rsid w:val="009A3F2C"/>
    <w:rsid w:val="009A4791"/>
    <w:rsid w:val="009A497A"/>
    <w:rsid w:val="009A4C12"/>
    <w:rsid w:val="009A4DAC"/>
    <w:rsid w:val="009A544D"/>
    <w:rsid w:val="009A5457"/>
    <w:rsid w:val="009A547A"/>
    <w:rsid w:val="009A5621"/>
    <w:rsid w:val="009A5C1A"/>
    <w:rsid w:val="009A5D9D"/>
    <w:rsid w:val="009A5DAF"/>
    <w:rsid w:val="009A5F8F"/>
    <w:rsid w:val="009A659D"/>
    <w:rsid w:val="009A66E7"/>
    <w:rsid w:val="009A680A"/>
    <w:rsid w:val="009A6AD9"/>
    <w:rsid w:val="009A6FA3"/>
    <w:rsid w:val="009A6FD8"/>
    <w:rsid w:val="009A72E1"/>
    <w:rsid w:val="009A736D"/>
    <w:rsid w:val="009A783A"/>
    <w:rsid w:val="009A7963"/>
    <w:rsid w:val="009A7B74"/>
    <w:rsid w:val="009A7CA1"/>
    <w:rsid w:val="009A7CAA"/>
    <w:rsid w:val="009A7D84"/>
    <w:rsid w:val="009A7DA7"/>
    <w:rsid w:val="009B035E"/>
    <w:rsid w:val="009B0B2B"/>
    <w:rsid w:val="009B0E56"/>
    <w:rsid w:val="009B1033"/>
    <w:rsid w:val="009B1310"/>
    <w:rsid w:val="009B15DF"/>
    <w:rsid w:val="009B162A"/>
    <w:rsid w:val="009B16AC"/>
    <w:rsid w:val="009B1EA8"/>
    <w:rsid w:val="009B2451"/>
    <w:rsid w:val="009B33E1"/>
    <w:rsid w:val="009B4483"/>
    <w:rsid w:val="009B49CB"/>
    <w:rsid w:val="009B4A27"/>
    <w:rsid w:val="009B4B8D"/>
    <w:rsid w:val="009B4CC0"/>
    <w:rsid w:val="009B50AF"/>
    <w:rsid w:val="009B559A"/>
    <w:rsid w:val="009B5AB7"/>
    <w:rsid w:val="009B5AB9"/>
    <w:rsid w:val="009B5AE3"/>
    <w:rsid w:val="009B5BB9"/>
    <w:rsid w:val="009B630E"/>
    <w:rsid w:val="009B6736"/>
    <w:rsid w:val="009B693A"/>
    <w:rsid w:val="009B6FDD"/>
    <w:rsid w:val="009B7614"/>
    <w:rsid w:val="009C0176"/>
    <w:rsid w:val="009C031D"/>
    <w:rsid w:val="009C03CE"/>
    <w:rsid w:val="009C06A6"/>
    <w:rsid w:val="009C0885"/>
    <w:rsid w:val="009C0AB9"/>
    <w:rsid w:val="009C0C65"/>
    <w:rsid w:val="009C164B"/>
    <w:rsid w:val="009C1BEC"/>
    <w:rsid w:val="009C1D78"/>
    <w:rsid w:val="009C1FD7"/>
    <w:rsid w:val="009C21E2"/>
    <w:rsid w:val="009C27BC"/>
    <w:rsid w:val="009C2A6B"/>
    <w:rsid w:val="009C2E44"/>
    <w:rsid w:val="009C2EA7"/>
    <w:rsid w:val="009C2F1C"/>
    <w:rsid w:val="009C3136"/>
    <w:rsid w:val="009C361B"/>
    <w:rsid w:val="009C3730"/>
    <w:rsid w:val="009C4208"/>
    <w:rsid w:val="009C42CC"/>
    <w:rsid w:val="009C439C"/>
    <w:rsid w:val="009C456F"/>
    <w:rsid w:val="009C4963"/>
    <w:rsid w:val="009C4D38"/>
    <w:rsid w:val="009C4D72"/>
    <w:rsid w:val="009C4DC8"/>
    <w:rsid w:val="009C533D"/>
    <w:rsid w:val="009C5BB1"/>
    <w:rsid w:val="009C5CEF"/>
    <w:rsid w:val="009C5FD4"/>
    <w:rsid w:val="009C6AFA"/>
    <w:rsid w:val="009C6E73"/>
    <w:rsid w:val="009C6F82"/>
    <w:rsid w:val="009C7257"/>
    <w:rsid w:val="009C74BA"/>
    <w:rsid w:val="009C76A5"/>
    <w:rsid w:val="009C77B8"/>
    <w:rsid w:val="009C7A70"/>
    <w:rsid w:val="009D0625"/>
    <w:rsid w:val="009D1511"/>
    <w:rsid w:val="009D1C5A"/>
    <w:rsid w:val="009D350D"/>
    <w:rsid w:val="009D35BC"/>
    <w:rsid w:val="009D35DE"/>
    <w:rsid w:val="009D4115"/>
    <w:rsid w:val="009D47A1"/>
    <w:rsid w:val="009D48D5"/>
    <w:rsid w:val="009D48EF"/>
    <w:rsid w:val="009D4ACF"/>
    <w:rsid w:val="009D4F59"/>
    <w:rsid w:val="009D56B6"/>
    <w:rsid w:val="009D5760"/>
    <w:rsid w:val="009D58E0"/>
    <w:rsid w:val="009D5B05"/>
    <w:rsid w:val="009D634D"/>
    <w:rsid w:val="009D6435"/>
    <w:rsid w:val="009D64B4"/>
    <w:rsid w:val="009D687F"/>
    <w:rsid w:val="009D69FD"/>
    <w:rsid w:val="009D6DEB"/>
    <w:rsid w:val="009D780A"/>
    <w:rsid w:val="009E000B"/>
    <w:rsid w:val="009E014F"/>
    <w:rsid w:val="009E0656"/>
    <w:rsid w:val="009E0DC1"/>
    <w:rsid w:val="009E101B"/>
    <w:rsid w:val="009E144F"/>
    <w:rsid w:val="009E17CA"/>
    <w:rsid w:val="009E1D06"/>
    <w:rsid w:val="009E1FA3"/>
    <w:rsid w:val="009E20F8"/>
    <w:rsid w:val="009E235E"/>
    <w:rsid w:val="009E23E0"/>
    <w:rsid w:val="009E241A"/>
    <w:rsid w:val="009E3500"/>
    <w:rsid w:val="009E3532"/>
    <w:rsid w:val="009E3ABA"/>
    <w:rsid w:val="009E3C89"/>
    <w:rsid w:val="009E3F9F"/>
    <w:rsid w:val="009E416C"/>
    <w:rsid w:val="009E48A6"/>
    <w:rsid w:val="009E4A74"/>
    <w:rsid w:val="009E4D73"/>
    <w:rsid w:val="009E5D46"/>
    <w:rsid w:val="009E5E08"/>
    <w:rsid w:val="009E6ADB"/>
    <w:rsid w:val="009E7019"/>
    <w:rsid w:val="009E72D6"/>
    <w:rsid w:val="009E7994"/>
    <w:rsid w:val="009E7C0D"/>
    <w:rsid w:val="009F0104"/>
    <w:rsid w:val="009F08C0"/>
    <w:rsid w:val="009F0A0A"/>
    <w:rsid w:val="009F0A30"/>
    <w:rsid w:val="009F0A47"/>
    <w:rsid w:val="009F0FDC"/>
    <w:rsid w:val="009F1C50"/>
    <w:rsid w:val="009F1E37"/>
    <w:rsid w:val="009F1F06"/>
    <w:rsid w:val="009F20F1"/>
    <w:rsid w:val="009F2457"/>
    <w:rsid w:val="009F245D"/>
    <w:rsid w:val="009F2D36"/>
    <w:rsid w:val="009F2FAC"/>
    <w:rsid w:val="009F32B1"/>
    <w:rsid w:val="009F3708"/>
    <w:rsid w:val="009F3E44"/>
    <w:rsid w:val="009F3FC9"/>
    <w:rsid w:val="009F4044"/>
    <w:rsid w:val="009F431A"/>
    <w:rsid w:val="009F438F"/>
    <w:rsid w:val="009F4560"/>
    <w:rsid w:val="009F46E8"/>
    <w:rsid w:val="009F4971"/>
    <w:rsid w:val="009F5138"/>
    <w:rsid w:val="009F5320"/>
    <w:rsid w:val="009F583E"/>
    <w:rsid w:val="009F5979"/>
    <w:rsid w:val="009F5CFD"/>
    <w:rsid w:val="009F5D6B"/>
    <w:rsid w:val="009F614D"/>
    <w:rsid w:val="009F626A"/>
    <w:rsid w:val="009F627F"/>
    <w:rsid w:val="009F690F"/>
    <w:rsid w:val="009F6A73"/>
    <w:rsid w:val="009F6BF4"/>
    <w:rsid w:val="009F6DA6"/>
    <w:rsid w:val="009F6EC2"/>
    <w:rsid w:val="009F6F92"/>
    <w:rsid w:val="009F748D"/>
    <w:rsid w:val="009F770A"/>
    <w:rsid w:val="00A00211"/>
    <w:rsid w:val="00A00296"/>
    <w:rsid w:val="00A00396"/>
    <w:rsid w:val="00A009B8"/>
    <w:rsid w:val="00A012F3"/>
    <w:rsid w:val="00A01F49"/>
    <w:rsid w:val="00A0214B"/>
    <w:rsid w:val="00A022DA"/>
    <w:rsid w:val="00A02717"/>
    <w:rsid w:val="00A02775"/>
    <w:rsid w:val="00A02AA8"/>
    <w:rsid w:val="00A02CB1"/>
    <w:rsid w:val="00A02DEF"/>
    <w:rsid w:val="00A0306B"/>
    <w:rsid w:val="00A031D2"/>
    <w:rsid w:val="00A0330F"/>
    <w:rsid w:val="00A033F4"/>
    <w:rsid w:val="00A035FF"/>
    <w:rsid w:val="00A0378B"/>
    <w:rsid w:val="00A03EBA"/>
    <w:rsid w:val="00A04694"/>
    <w:rsid w:val="00A04735"/>
    <w:rsid w:val="00A04BA8"/>
    <w:rsid w:val="00A050FB"/>
    <w:rsid w:val="00A05595"/>
    <w:rsid w:val="00A05614"/>
    <w:rsid w:val="00A05632"/>
    <w:rsid w:val="00A056B1"/>
    <w:rsid w:val="00A056C7"/>
    <w:rsid w:val="00A058BC"/>
    <w:rsid w:val="00A05946"/>
    <w:rsid w:val="00A0604B"/>
    <w:rsid w:val="00A064A5"/>
    <w:rsid w:val="00A066A8"/>
    <w:rsid w:val="00A06794"/>
    <w:rsid w:val="00A0681C"/>
    <w:rsid w:val="00A06822"/>
    <w:rsid w:val="00A069DA"/>
    <w:rsid w:val="00A06C4D"/>
    <w:rsid w:val="00A06DBD"/>
    <w:rsid w:val="00A06F95"/>
    <w:rsid w:val="00A0737E"/>
    <w:rsid w:val="00A0740A"/>
    <w:rsid w:val="00A079E6"/>
    <w:rsid w:val="00A10373"/>
    <w:rsid w:val="00A106D8"/>
    <w:rsid w:val="00A10CB5"/>
    <w:rsid w:val="00A10D90"/>
    <w:rsid w:val="00A10FDA"/>
    <w:rsid w:val="00A11FA3"/>
    <w:rsid w:val="00A1277E"/>
    <w:rsid w:val="00A127C7"/>
    <w:rsid w:val="00A129C3"/>
    <w:rsid w:val="00A12A30"/>
    <w:rsid w:val="00A12D7D"/>
    <w:rsid w:val="00A13422"/>
    <w:rsid w:val="00A13906"/>
    <w:rsid w:val="00A13AB9"/>
    <w:rsid w:val="00A14085"/>
    <w:rsid w:val="00A140D8"/>
    <w:rsid w:val="00A1455B"/>
    <w:rsid w:val="00A14CD8"/>
    <w:rsid w:val="00A14D12"/>
    <w:rsid w:val="00A14D56"/>
    <w:rsid w:val="00A15B81"/>
    <w:rsid w:val="00A1615A"/>
    <w:rsid w:val="00A16174"/>
    <w:rsid w:val="00A166BD"/>
    <w:rsid w:val="00A173B7"/>
    <w:rsid w:val="00A178C2"/>
    <w:rsid w:val="00A179FB"/>
    <w:rsid w:val="00A17E58"/>
    <w:rsid w:val="00A20173"/>
    <w:rsid w:val="00A202C6"/>
    <w:rsid w:val="00A2037D"/>
    <w:rsid w:val="00A2075B"/>
    <w:rsid w:val="00A20A35"/>
    <w:rsid w:val="00A20C23"/>
    <w:rsid w:val="00A20EBC"/>
    <w:rsid w:val="00A212B1"/>
    <w:rsid w:val="00A21365"/>
    <w:rsid w:val="00A2168F"/>
    <w:rsid w:val="00A218B9"/>
    <w:rsid w:val="00A21A05"/>
    <w:rsid w:val="00A21A2B"/>
    <w:rsid w:val="00A21B93"/>
    <w:rsid w:val="00A21D55"/>
    <w:rsid w:val="00A221C4"/>
    <w:rsid w:val="00A226E9"/>
    <w:rsid w:val="00A22C7C"/>
    <w:rsid w:val="00A22E34"/>
    <w:rsid w:val="00A22F39"/>
    <w:rsid w:val="00A2387B"/>
    <w:rsid w:val="00A2394F"/>
    <w:rsid w:val="00A239C3"/>
    <w:rsid w:val="00A23BDF"/>
    <w:rsid w:val="00A2445A"/>
    <w:rsid w:val="00A246DC"/>
    <w:rsid w:val="00A24968"/>
    <w:rsid w:val="00A24C6D"/>
    <w:rsid w:val="00A24D1E"/>
    <w:rsid w:val="00A24DB0"/>
    <w:rsid w:val="00A24F93"/>
    <w:rsid w:val="00A258C5"/>
    <w:rsid w:val="00A26211"/>
    <w:rsid w:val="00A2637A"/>
    <w:rsid w:val="00A2640B"/>
    <w:rsid w:val="00A264ED"/>
    <w:rsid w:val="00A26B70"/>
    <w:rsid w:val="00A26C61"/>
    <w:rsid w:val="00A2799B"/>
    <w:rsid w:val="00A279B6"/>
    <w:rsid w:val="00A27AC0"/>
    <w:rsid w:val="00A27D6A"/>
    <w:rsid w:val="00A309E5"/>
    <w:rsid w:val="00A310A4"/>
    <w:rsid w:val="00A311F1"/>
    <w:rsid w:val="00A31259"/>
    <w:rsid w:val="00A317A4"/>
    <w:rsid w:val="00A31BBF"/>
    <w:rsid w:val="00A31C0E"/>
    <w:rsid w:val="00A31FE7"/>
    <w:rsid w:val="00A32112"/>
    <w:rsid w:val="00A321B7"/>
    <w:rsid w:val="00A32417"/>
    <w:rsid w:val="00A32832"/>
    <w:rsid w:val="00A32F1C"/>
    <w:rsid w:val="00A32FE4"/>
    <w:rsid w:val="00A332B7"/>
    <w:rsid w:val="00A334D5"/>
    <w:rsid w:val="00A339D2"/>
    <w:rsid w:val="00A33C5D"/>
    <w:rsid w:val="00A33D0F"/>
    <w:rsid w:val="00A34240"/>
    <w:rsid w:val="00A34957"/>
    <w:rsid w:val="00A34D17"/>
    <w:rsid w:val="00A354E5"/>
    <w:rsid w:val="00A35B7E"/>
    <w:rsid w:val="00A35E5E"/>
    <w:rsid w:val="00A360A8"/>
    <w:rsid w:val="00A3630C"/>
    <w:rsid w:val="00A366BA"/>
    <w:rsid w:val="00A3676A"/>
    <w:rsid w:val="00A36ED0"/>
    <w:rsid w:val="00A3734F"/>
    <w:rsid w:val="00A37452"/>
    <w:rsid w:val="00A37971"/>
    <w:rsid w:val="00A37A63"/>
    <w:rsid w:val="00A37BE5"/>
    <w:rsid w:val="00A406DA"/>
    <w:rsid w:val="00A412F9"/>
    <w:rsid w:val="00A4138C"/>
    <w:rsid w:val="00A414A2"/>
    <w:rsid w:val="00A41519"/>
    <w:rsid w:val="00A4171A"/>
    <w:rsid w:val="00A41E3C"/>
    <w:rsid w:val="00A4203F"/>
    <w:rsid w:val="00A42052"/>
    <w:rsid w:val="00A427CA"/>
    <w:rsid w:val="00A4283B"/>
    <w:rsid w:val="00A429A6"/>
    <w:rsid w:val="00A42A97"/>
    <w:rsid w:val="00A42C07"/>
    <w:rsid w:val="00A42F37"/>
    <w:rsid w:val="00A43076"/>
    <w:rsid w:val="00A4344D"/>
    <w:rsid w:val="00A43AAC"/>
    <w:rsid w:val="00A4443C"/>
    <w:rsid w:val="00A4486D"/>
    <w:rsid w:val="00A44B12"/>
    <w:rsid w:val="00A44D54"/>
    <w:rsid w:val="00A44E59"/>
    <w:rsid w:val="00A4539B"/>
    <w:rsid w:val="00A45AA8"/>
    <w:rsid w:val="00A46654"/>
    <w:rsid w:val="00A466D7"/>
    <w:rsid w:val="00A46935"/>
    <w:rsid w:val="00A469BE"/>
    <w:rsid w:val="00A46CA4"/>
    <w:rsid w:val="00A47464"/>
    <w:rsid w:val="00A474EB"/>
    <w:rsid w:val="00A475F6"/>
    <w:rsid w:val="00A476CA"/>
    <w:rsid w:val="00A478A3"/>
    <w:rsid w:val="00A5054C"/>
    <w:rsid w:val="00A50C1C"/>
    <w:rsid w:val="00A50C2E"/>
    <w:rsid w:val="00A50D13"/>
    <w:rsid w:val="00A50FE4"/>
    <w:rsid w:val="00A5130A"/>
    <w:rsid w:val="00A51460"/>
    <w:rsid w:val="00A51663"/>
    <w:rsid w:val="00A51AD4"/>
    <w:rsid w:val="00A51D79"/>
    <w:rsid w:val="00A52004"/>
    <w:rsid w:val="00A525D6"/>
    <w:rsid w:val="00A5283B"/>
    <w:rsid w:val="00A53122"/>
    <w:rsid w:val="00A53255"/>
    <w:rsid w:val="00A5380A"/>
    <w:rsid w:val="00A53AFE"/>
    <w:rsid w:val="00A53CCC"/>
    <w:rsid w:val="00A54080"/>
    <w:rsid w:val="00A54343"/>
    <w:rsid w:val="00A543C2"/>
    <w:rsid w:val="00A547B9"/>
    <w:rsid w:val="00A5488D"/>
    <w:rsid w:val="00A54A4B"/>
    <w:rsid w:val="00A54AD0"/>
    <w:rsid w:val="00A54F87"/>
    <w:rsid w:val="00A55131"/>
    <w:rsid w:val="00A551AB"/>
    <w:rsid w:val="00A551CB"/>
    <w:rsid w:val="00A55268"/>
    <w:rsid w:val="00A55453"/>
    <w:rsid w:val="00A5594A"/>
    <w:rsid w:val="00A559E7"/>
    <w:rsid w:val="00A55EC2"/>
    <w:rsid w:val="00A56444"/>
    <w:rsid w:val="00A5650C"/>
    <w:rsid w:val="00A5667F"/>
    <w:rsid w:val="00A566E0"/>
    <w:rsid w:val="00A56A5C"/>
    <w:rsid w:val="00A56BC3"/>
    <w:rsid w:val="00A56BFA"/>
    <w:rsid w:val="00A56FCC"/>
    <w:rsid w:val="00A57075"/>
    <w:rsid w:val="00A57400"/>
    <w:rsid w:val="00A57504"/>
    <w:rsid w:val="00A576F2"/>
    <w:rsid w:val="00A5774F"/>
    <w:rsid w:val="00A57A30"/>
    <w:rsid w:val="00A57B7E"/>
    <w:rsid w:val="00A60086"/>
    <w:rsid w:val="00A603BB"/>
    <w:rsid w:val="00A603F0"/>
    <w:rsid w:val="00A60594"/>
    <w:rsid w:val="00A60873"/>
    <w:rsid w:val="00A608A3"/>
    <w:rsid w:val="00A614A5"/>
    <w:rsid w:val="00A614B0"/>
    <w:rsid w:val="00A61560"/>
    <w:rsid w:val="00A61626"/>
    <w:rsid w:val="00A618EA"/>
    <w:rsid w:val="00A61BD9"/>
    <w:rsid w:val="00A61CB3"/>
    <w:rsid w:val="00A61F64"/>
    <w:rsid w:val="00A62D01"/>
    <w:rsid w:val="00A62D9C"/>
    <w:rsid w:val="00A63102"/>
    <w:rsid w:val="00A63211"/>
    <w:rsid w:val="00A63230"/>
    <w:rsid w:val="00A6356F"/>
    <w:rsid w:val="00A63CDC"/>
    <w:rsid w:val="00A63CDE"/>
    <w:rsid w:val="00A64231"/>
    <w:rsid w:val="00A64758"/>
    <w:rsid w:val="00A648B1"/>
    <w:rsid w:val="00A64A7D"/>
    <w:rsid w:val="00A64B0D"/>
    <w:rsid w:val="00A64C76"/>
    <w:rsid w:val="00A64D4C"/>
    <w:rsid w:val="00A64E63"/>
    <w:rsid w:val="00A65226"/>
    <w:rsid w:val="00A655CC"/>
    <w:rsid w:val="00A655F0"/>
    <w:rsid w:val="00A65A9A"/>
    <w:rsid w:val="00A661E8"/>
    <w:rsid w:val="00A663B4"/>
    <w:rsid w:val="00A66759"/>
    <w:rsid w:val="00A66898"/>
    <w:rsid w:val="00A6710C"/>
    <w:rsid w:val="00A672B8"/>
    <w:rsid w:val="00A67466"/>
    <w:rsid w:val="00A67733"/>
    <w:rsid w:val="00A7007A"/>
    <w:rsid w:val="00A702DA"/>
    <w:rsid w:val="00A703A4"/>
    <w:rsid w:val="00A704BE"/>
    <w:rsid w:val="00A70930"/>
    <w:rsid w:val="00A70E4D"/>
    <w:rsid w:val="00A71779"/>
    <w:rsid w:val="00A71872"/>
    <w:rsid w:val="00A71A44"/>
    <w:rsid w:val="00A71ABB"/>
    <w:rsid w:val="00A71ED1"/>
    <w:rsid w:val="00A7224B"/>
    <w:rsid w:val="00A7241E"/>
    <w:rsid w:val="00A72B55"/>
    <w:rsid w:val="00A730B7"/>
    <w:rsid w:val="00A7365D"/>
    <w:rsid w:val="00A73C9E"/>
    <w:rsid w:val="00A73F8D"/>
    <w:rsid w:val="00A74A3F"/>
    <w:rsid w:val="00A74BFF"/>
    <w:rsid w:val="00A74D09"/>
    <w:rsid w:val="00A74FB0"/>
    <w:rsid w:val="00A75304"/>
    <w:rsid w:val="00A75706"/>
    <w:rsid w:val="00A7590F"/>
    <w:rsid w:val="00A75E2A"/>
    <w:rsid w:val="00A75E85"/>
    <w:rsid w:val="00A760E0"/>
    <w:rsid w:val="00A76213"/>
    <w:rsid w:val="00A765A8"/>
    <w:rsid w:val="00A768A4"/>
    <w:rsid w:val="00A76A44"/>
    <w:rsid w:val="00A76D3B"/>
    <w:rsid w:val="00A76F76"/>
    <w:rsid w:val="00A7743F"/>
    <w:rsid w:val="00A77517"/>
    <w:rsid w:val="00A77924"/>
    <w:rsid w:val="00A77E27"/>
    <w:rsid w:val="00A77E79"/>
    <w:rsid w:val="00A8035C"/>
    <w:rsid w:val="00A8036B"/>
    <w:rsid w:val="00A80EED"/>
    <w:rsid w:val="00A80FCD"/>
    <w:rsid w:val="00A81571"/>
    <w:rsid w:val="00A81D1B"/>
    <w:rsid w:val="00A81DCF"/>
    <w:rsid w:val="00A81DFD"/>
    <w:rsid w:val="00A82352"/>
    <w:rsid w:val="00A82673"/>
    <w:rsid w:val="00A828C7"/>
    <w:rsid w:val="00A82F32"/>
    <w:rsid w:val="00A82FE5"/>
    <w:rsid w:val="00A832EE"/>
    <w:rsid w:val="00A833DB"/>
    <w:rsid w:val="00A837D2"/>
    <w:rsid w:val="00A8423E"/>
    <w:rsid w:val="00A842E3"/>
    <w:rsid w:val="00A844B5"/>
    <w:rsid w:val="00A84768"/>
    <w:rsid w:val="00A84AB0"/>
    <w:rsid w:val="00A84C20"/>
    <w:rsid w:val="00A85056"/>
    <w:rsid w:val="00A85673"/>
    <w:rsid w:val="00A85820"/>
    <w:rsid w:val="00A8591D"/>
    <w:rsid w:val="00A859B2"/>
    <w:rsid w:val="00A85AAE"/>
    <w:rsid w:val="00A85B4F"/>
    <w:rsid w:val="00A85E0C"/>
    <w:rsid w:val="00A85E2E"/>
    <w:rsid w:val="00A8602A"/>
    <w:rsid w:val="00A860CE"/>
    <w:rsid w:val="00A861AD"/>
    <w:rsid w:val="00A864F0"/>
    <w:rsid w:val="00A86826"/>
    <w:rsid w:val="00A868D0"/>
    <w:rsid w:val="00A872FA"/>
    <w:rsid w:val="00A876D6"/>
    <w:rsid w:val="00A87947"/>
    <w:rsid w:val="00A879FB"/>
    <w:rsid w:val="00A87B39"/>
    <w:rsid w:val="00A87C81"/>
    <w:rsid w:val="00A87CB4"/>
    <w:rsid w:val="00A90264"/>
    <w:rsid w:val="00A90981"/>
    <w:rsid w:val="00A9103F"/>
    <w:rsid w:val="00A91A9D"/>
    <w:rsid w:val="00A9225E"/>
    <w:rsid w:val="00A922AD"/>
    <w:rsid w:val="00A9238A"/>
    <w:rsid w:val="00A92980"/>
    <w:rsid w:val="00A930D1"/>
    <w:rsid w:val="00A930D3"/>
    <w:rsid w:val="00A932CC"/>
    <w:rsid w:val="00A938D1"/>
    <w:rsid w:val="00A93FA0"/>
    <w:rsid w:val="00A94072"/>
    <w:rsid w:val="00A94074"/>
    <w:rsid w:val="00A940F5"/>
    <w:rsid w:val="00A943F8"/>
    <w:rsid w:val="00A944A6"/>
    <w:rsid w:val="00A94654"/>
    <w:rsid w:val="00A94F72"/>
    <w:rsid w:val="00A9528F"/>
    <w:rsid w:val="00A95395"/>
    <w:rsid w:val="00A956E1"/>
    <w:rsid w:val="00A9585D"/>
    <w:rsid w:val="00A95B47"/>
    <w:rsid w:val="00A95E4F"/>
    <w:rsid w:val="00A96119"/>
    <w:rsid w:val="00A966E1"/>
    <w:rsid w:val="00A968F7"/>
    <w:rsid w:val="00A96C1E"/>
    <w:rsid w:val="00A96C2F"/>
    <w:rsid w:val="00A96DC4"/>
    <w:rsid w:val="00A97443"/>
    <w:rsid w:val="00A97867"/>
    <w:rsid w:val="00A97952"/>
    <w:rsid w:val="00A97DA7"/>
    <w:rsid w:val="00A97DBF"/>
    <w:rsid w:val="00AA02A7"/>
    <w:rsid w:val="00AA050F"/>
    <w:rsid w:val="00AA073F"/>
    <w:rsid w:val="00AA0923"/>
    <w:rsid w:val="00AA0A06"/>
    <w:rsid w:val="00AA0E04"/>
    <w:rsid w:val="00AA1D99"/>
    <w:rsid w:val="00AA1E2B"/>
    <w:rsid w:val="00AA1EAF"/>
    <w:rsid w:val="00AA24E7"/>
    <w:rsid w:val="00AA254A"/>
    <w:rsid w:val="00AA2710"/>
    <w:rsid w:val="00AA27AA"/>
    <w:rsid w:val="00AA2BA8"/>
    <w:rsid w:val="00AA2C3D"/>
    <w:rsid w:val="00AA2D60"/>
    <w:rsid w:val="00AA2E42"/>
    <w:rsid w:val="00AA2FDA"/>
    <w:rsid w:val="00AA38F0"/>
    <w:rsid w:val="00AA3D9A"/>
    <w:rsid w:val="00AA3E14"/>
    <w:rsid w:val="00AA461D"/>
    <w:rsid w:val="00AA4698"/>
    <w:rsid w:val="00AA4713"/>
    <w:rsid w:val="00AA4B7D"/>
    <w:rsid w:val="00AA4E16"/>
    <w:rsid w:val="00AA55F3"/>
    <w:rsid w:val="00AA569F"/>
    <w:rsid w:val="00AA5770"/>
    <w:rsid w:val="00AA591C"/>
    <w:rsid w:val="00AA5D81"/>
    <w:rsid w:val="00AA6244"/>
    <w:rsid w:val="00AA64A0"/>
    <w:rsid w:val="00AA65C0"/>
    <w:rsid w:val="00AA6828"/>
    <w:rsid w:val="00AA68DF"/>
    <w:rsid w:val="00AA6954"/>
    <w:rsid w:val="00AA697F"/>
    <w:rsid w:val="00AA6E62"/>
    <w:rsid w:val="00AA6EEA"/>
    <w:rsid w:val="00AA71EF"/>
    <w:rsid w:val="00AA72D0"/>
    <w:rsid w:val="00AA7A0F"/>
    <w:rsid w:val="00AA7AB0"/>
    <w:rsid w:val="00AB010F"/>
    <w:rsid w:val="00AB02A4"/>
    <w:rsid w:val="00AB0764"/>
    <w:rsid w:val="00AB0FC0"/>
    <w:rsid w:val="00AB1245"/>
    <w:rsid w:val="00AB1674"/>
    <w:rsid w:val="00AB16AA"/>
    <w:rsid w:val="00AB1DA5"/>
    <w:rsid w:val="00AB2520"/>
    <w:rsid w:val="00AB2687"/>
    <w:rsid w:val="00AB276A"/>
    <w:rsid w:val="00AB2A4D"/>
    <w:rsid w:val="00AB3240"/>
    <w:rsid w:val="00AB3CFF"/>
    <w:rsid w:val="00AB3DFA"/>
    <w:rsid w:val="00AB3F23"/>
    <w:rsid w:val="00AB41EB"/>
    <w:rsid w:val="00AB4262"/>
    <w:rsid w:val="00AB4527"/>
    <w:rsid w:val="00AB4C5A"/>
    <w:rsid w:val="00AB5018"/>
    <w:rsid w:val="00AB506A"/>
    <w:rsid w:val="00AB5226"/>
    <w:rsid w:val="00AB53DB"/>
    <w:rsid w:val="00AB55D3"/>
    <w:rsid w:val="00AB5626"/>
    <w:rsid w:val="00AB5EE5"/>
    <w:rsid w:val="00AB60A3"/>
    <w:rsid w:val="00AB616A"/>
    <w:rsid w:val="00AB66A4"/>
    <w:rsid w:val="00AB71AC"/>
    <w:rsid w:val="00AB739E"/>
    <w:rsid w:val="00AB74CD"/>
    <w:rsid w:val="00AB7716"/>
    <w:rsid w:val="00AB7CAF"/>
    <w:rsid w:val="00AB7DF4"/>
    <w:rsid w:val="00AB7F92"/>
    <w:rsid w:val="00AC015A"/>
    <w:rsid w:val="00AC022B"/>
    <w:rsid w:val="00AC080A"/>
    <w:rsid w:val="00AC0A4C"/>
    <w:rsid w:val="00AC0ED8"/>
    <w:rsid w:val="00AC1177"/>
    <w:rsid w:val="00AC1789"/>
    <w:rsid w:val="00AC1834"/>
    <w:rsid w:val="00AC18A4"/>
    <w:rsid w:val="00AC195B"/>
    <w:rsid w:val="00AC1E78"/>
    <w:rsid w:val="00AC2084"/>
    <w:rsid w:val="00AC2242"/>
    <w:rsid w:val="00AC22DB"/>
    <w:rsid w:val="00AC2654"/>
    <w:rsid w:val="00AC2984"/>
    <w:rsid w:val="00AC3057"/>
    <w:rsid w:val="00AC3061"/>
    <w:rsid w:val="00AC3635"/>
    <w:rsid w:val="00AC3883"/>
    <w:rsid w:val="00AC38AF"/>
    <w:rsid w:val="00AC3A75"/>
    <w:rsid w:val="00AC3A91"/>
    <w:rsid w:val="00AC4076"/>
    <w:rsid w:val="00AC4249"/>
    <w:rsid w:val="00AC44A3"/>
    <w:rsid w:val="00AC4C45"/>
    <w:rsid w:val="00AC5064"/>
    <w:rsid w:val="00AC5195"/>
    <w:rsid w:val="00AC58F4"/>
    <w:rsid w:val="00AC5939"/>
    <w:rsid w:val="00AC5C32"/>
    <w:rsid w:val="00AC5E73"/>
    <w:rsid w:val="00AC5EC2"/>
    <w:rsid w:val="00AC5FAF"/>
    <w:rsid w:val="00AC6413"/>
    <w:rsid w:val="00AC6674"/>
    <w:rsid w:val="00AC679A"/>
    <w:rsid w:val="00AC68B2"/>
    <w:rsid w:val="00AC6CC2"/>
    <w:rsid w:val="00AC6E5C"/>
    <w:rsid w:val="00AC7332"/>
    <w:rsid w:val="00AC73C4"/>
    <w:rsid w:val="00AC7673"/>
    <w:rsid w:val="00AC7900"/>
    <w:rsid w:val="00AC7AE4"/>
    <w:rsid w:val="00AC7B48"/>
    <w:rsid w:val="00AC7F5B"/>
    <w:rsid w:val="00AD0374"/>
    <w:rsid w:val="00AD03BD"/>
    <w:rsid w:val="00AD0B34"/>
    <w:rsid w:val="00AD0BB1"/>
    <w:rsid w:val="00AD0D9D"/>
    <w:rsid w:val="00AD0E67"/>
    <w:rsid w:val="00AD10BC"/>
    <w:rsid w:val="00AD1294"/>
    <w:rsid w:val="00AD12FA"/>
    <w:rsid w:val="00AD144C"/>
    <w:rsid w:val="00AD159A"/>
    <w:rsid w:val="00AD172E"/>
    <w:rsid w:val="00AD1808"/>
    <w:rsid w:val="00AD1ABD"/>
    <w:rsid w:val="00AD1D67"/>
    <w:rsid w:val="00AD1D69"/>
    <w:rsid w:val="00AD1F21"/>
    <w:rsid w:val="00AD20C9"/>
    <w:rsid w:val="00AD2745"/>
    <w:rsid w:val="00AD277F"/>
    <w:rsid w:val="00AD2E04"/>
    <w:rsid w:val="00AD425C"/>
    <w:rsid w:val="00AD430F"/>
    <w:rsid w:val="00AD46D9"/>
    <w:rsid w:val="00AD47ED"/>
    <w:rsid w:val="00AD4C61"/>
    <w:rsid w:val="00AD4DE8"/>
    <w:rsid w:val="00AD50CA"/>
    <w:rsid w:val="00AD51F8"/>
    <w:rsid w:val="00AD52BF"/>
    <w:rsid w:val="00AD58AE"/>
    <w:rsid w:val="00AD5A52"/>
    <w:rsid w:val="00AD5B64"/>
    <w:rsid w:val="00AD5D48"/>
    <w:rsid w:val="00AD5D72"/>
    <w:rsid w:val="00AD6061"/>
    <w:rsid w:val="00AD626E"/>
    <w:rsid w:val="00AD64D3"/>
    <w:rsid w:val="00AD65CB"/>
    <w:rsid w:val="00AD68F2"/>
    <w:rsid w:val="00AD6AEE"/>
    <w:rsid w:val="00AD6BE4"/>
    <w:rsid w:val="00AD6F77"/>
    <w:rsid w:val="00AD70F7"/>
    <w:rsid w:val="00AD73ED"/>
    <w:rsid w:val="00AD7729"/>
    <w:rsid w:val="00AD7C6A"/>
    <w:rsid w:val="00AD7D40"/>
    <w:rsid w:val="00AD7D9E"/>
    <w:rsid w:val="00AD7EDF"/>
    <w:rsid w:val="00AD7FB5"/>
    <w:rsid w:val="00AE0000"/>
    <w:rsid w:val="00AE01D3"/>
    <w:rsid w:val="00AE03B9"/>
    <w:rsid w:val="00AE0500"/>
    <w:rsid w:val="00AE0780"/>
    <w:rsid w:val="00AE0C2D"/>
    <w:rsid w:val="00AE1115"/>
    <w:rsid w:val="00AE199D"/>
    <w:rsid w:val="00AE1EF1"/>
    <w:rsid w:val="00AE1EF9"/>
    <w:rsid w:val="00AE1F06"/>
    <w:rsid w:val="00AE1F9C"/>
    <w:rsid w:val="00AE1FD4"/>
    <w:rsid w:val="00AE24EA"/>
    <w:rsid w:val="00AE25DD"/>
    <w:rsid w:val="00AE2915"/>
    <w:rsid w:val="00AE2AE7"/>
    <w:rsid w:val="00AE2E71"/>
    <w:rsid w:val="00AE2ECD"/>
    <w:rsid w:val="00AE2F1E"/>
    <w:rsid w:val="00AE3209"/>
    <w:rsid w:val="00AE3238"/>
    <w:rsid w:val="00AE3366"/>
    <w:rsid w:val="00AE39B9"/>
    <w:rsid w:val="00AE434F"/>
    <w:rsid w:val="00AE44CC"/>
    <w:rsid w:val="00AE4587"/>
    <w:rsid w:val="00AE4624"/>
    <w:rsid w:val="00AE4787"/>
    <w:rsid w:val="00AE4A03"/>
    <w:rsid w:val="00AE4AE8"/>
    <w:rsid w:val="00AE4C4F"/>
    <w:rsid w:val="00AE4D72"/>
    <w:rsid w:val="00AE4DD7"/>
    <w:rsid w:val="00AE4F87"/>
    <w:rsid w:val="00AE5116"/>
    <w:rsid w:val="00AE51E7"/>
    <w:rsid w:val="00AE5F29"/>
    <w:rsid w:val="00AE660D"/>
    <w:rsid w:val="00AE6B37"/>
    <w:rsid w:val="00AE6C45"/>
    <w:rsid w:val="00AE6CF9"/>
    <w:rsid w:val="00AE6D54"/>
    <w:rsid w:val="00AE702B"/>
    <w:rsid w:val="00AE7161"/>
    <w:rsid w:val="00AE7256"/>
    <w:rsid w:val="00AE74A1"/>
    <w:rsid w:val="00AE7728"/>
    <w:rsid w:val="00AE7B1D"/>
    <w:rsid w:val="00AE7B3D"/>
    <w:rsid w:val="00AE7CC5"/>
    <w:rsid w:val="00AE7F35"/>
    <w:rsid w:val="00AF004B"/>
    <w:rsid w:val="00AF013E"/>
    <w:rsid w:val="00AF0410"/>
    <w:rsid w:val="00AF07B3"/>
    <w:rsid w:val="00AF110A"/>
    <w:rsid w:val="00AF11EE"/>
    <w:rsid w:val="00AF1311"/>
    <w:rsid w:val="00AF1581"/>
    <w:rsid w:val="00AF1DAF"/>
    <w:rsid w:val="00AF2226"/>
    <w:rsid w:val="00AF2286"/>
    <w:rsid w:val="00AF22A9"/>
    <w:rsid w:val="00AF22C0"/>
    <w:rsid w:val="00AF232F"/>
    <w:rsid w:val="00AF2594"/>
    <w:rsid w:val="00AF2689"/>
    <w:rsid w:val="00AF2CCF"/>
    <w:rsid w:val="00AF2E20"/>
    <w:rsid w:val="00AF3065"/>
    <w:rsid w:val="00AF30FD"/>
    <w:rsid w:val="00AF3227"/>
    <w:rsid w:val="00AF3661"/>
    <w:rsid w:val="00AF371A"/>
    <w:rsid w:val="00AF3722"/>
    <w:rsid w:val="00AF3C11"/>
    <w:rsid w:val="00AF4139"/>
    <w:rsid w:val="00AF41AE"/>
    <w:rsid w:val="00AF44FE"/>
    <w:rsid w:val="00AF46F0"/>
    <w:rsid w:val="00AF4BB0"/>
    <w:rsid w:val="00AF4C48"/>
    <w:rsid w:val="00AF5159"/>
    <w:rsid w:val="00AF5306"/>
    <w:rsid w:val="00AF5340"/>
    <w:rsid w:val="00AF572F"/>
    <w:rsid w:val="00AF58DE"/>
    <w:rsid w:val="00AF5ABC"/>
    <w:rsid w:val="00AF611B"/>
    <w:rsid w:val="00AF6185"/>
    <w:rsid w:val="00AF6387"/>
    <w:rsid w:val="00AF6735"/>
    <w:rsid w:val="00AF6ACA"/>
    <w:rsid w:val="00AF7387"/>
    <w:rsid w:val="00AF7B41"/>
    <w:rsid w:val="00AF7B67"/>
    <w:rsid w:val="00AF7EE4"/>
    <w:rsid w:val="00B0010B"/>
    <w:rsid w:val="00B0082F"/>
    <w:rsid w:val="00B0112D"/>
    <w:rsid w:val="00B012D4"/>
    <w:rsid w:val="00B01471"/>
    <w:rsid w:val="00B01887"/>
    <w:rsid w:val="00B0194F"/>
    <w:rsid w:val="00B01FAC"/>
    <w:rsid w:val="00B021EA"/>
    <w:rsid w:val="00B02258"/>
    <w:rsid w:val="00B0232B"/>
    <w:rsid w:val="00B0248E"/>
    <w:rsid w:val="00B0253D"/>
    <w:rsid w:val="00B027A2"/>
    <w:rsid w:val="00B0339B"/>
    <w:rsid w:val="00B03536"/>
    <w:rsid w:val="00B03A01"/>
    <w:rsid w:val="00B03D56"/>
    <w:rsid w:val="00B03FF5"/>
    <w:rsid w:val="00B04D74"/>
    <w:rsid w:val="00B04E3C"/>
    <w:rsid w:val="00B05130"/>
    <w:rsid w:val="00B051D5"/>
    <w:rsid w:val="00B05A84"/>
    <w:rsid w:val="00B06156"/>
    <w:rsid w:val="00B061F6"/>
    <w:rsid w:val="00B0636C"/>
    <w:rsid w:val="00B066AA"/>
    <w:rsid w:val="00B06D77"/>
    <w:rsid w:val="00B06D80"/>
    <w:rsid w:val="00B06E2D"/>
    <w:rsid w:val="00B07068"/>
    <w:rsid w:val="00B07454"/>
    <w:rsid w:val="00B07498"/>
    <w:rsid w:val="00B077D4"/>
    <w:rsid w:val="00B07D23"/>
    <w:rsid w:val="00B07E6E"/>
    <w:rsid w:val="00B1009A"/>
    <w:rsid w:val="00B1068B"/>
    <w:rsid w:val="00B10DD4"/>
    <w:rsid w:val="00B11150"/>
    <w:rsid w:val="00B11978"/>
    <w:rsid w:val="00B119D4"/>
    <w:rsid w:val="00B11BB3"/>
    <w:rsid w:val="00B11E31"/>
    <w:rsid w:val="00B12341"/>
    <w:rsid w:val="00B12585"/>
    <w:rsid w:val="00B12A53"/>
    <w:rsid w:val="00B12D88"/>
    <w:rsid w:val="00B12D91"/>
    <w:rsid w:val="00B132CE"/>
    <w:rsid w:val="00B135E0"/>
    <w:rsid w:val="00B137B8"/>
    <w:rsid w:val="00B13C9E"/>
    <w:rsid w:val="00B1400F"/>
    <w:rsid w:val="00B1498A"/>
    <w:rsid w:val="00B150FB"/>
    <w:rsid w:val="00B15C4F"/>
    <w:rsid w:val="00B15C91"/>
    <w:rsid w:val="00B15FEB"/>
    <w:rsid w:val="00B162DB"/>
    <w:rsid w:val="00B164DC"/>
    <w:rsid w:val="00B16541"/>
    <w:rsid w:val="00B165B8"/>
    <w:rsid w:val="00B167A7"/>
    <w:rsid w:val="00B1681C"/>
    <w:rsid w:val="00B16DA4"/>
    <w:rsid w:val="00B16E64"/>
    <w:rsid w:val="00B16FF3"/>
    <w:rsid w:val="00B17064"/>
    <w:rsid w:val="00B17181"/>
    <w:rsid w:val="00B173B5"/>
    <w:rsid w:val="00B178E4"/>
    <w:rsid w:val="00B17A0B"/>
    <w:rsid w:val="00B17EFF"/>
    <w:rsid w:val="00B20403"/>
    <w:rsid w:val="00B20497"/>
    <w:rsid w:val="00B20535"/>
    <w:rsid w:val="00B20776"/>
    <w:rsid w:val="00B21220"/>
    <w:rsid w:val="00B21249"/>
    <w:rsid w:val="00B2131C"/>
    <w:rsid w:val="00B213B0"/>
    <w:rsid w:val="00B216D1"/>
    <w:rsid w:val="00B21AE0"/>
    <w:rsid w:val="00B21B4F"/>
    <w:rsid w:val="00B21E9D"/>
    <w:rsid w:val="00B21FC1"/>
    <w:rsid w:val="00B222F9"/>
    <w:rsid w:val="00B22314"/>
    <w:rsid w:val="00B2248E"/>
    <w:rsid w:val="00B226D4"/>
    <w:rsid w:val="00B22981"/>
    <w:rsid w:val="00B22FBD"/>
    <w:rsid w:val="00B231EA"/>
    <w:rsid w:val="00B23DFD"/>
    <w:rsid w:val="00B23FB9"/>
    <w:rsid w:val="00B248E5"/>
    <w:rsid w:val="00B24978"/>
    <w:rsid w:val="00B24A64"/>
    <w:rsid w:val="00B2512F"/>
    <w:rsid w:val="00B257BE"/>
    <w:rsid w:val="00B25952"/>
    <w:rsid w:val="00B26095"/>
    <w:rsid w:val="00B269BC"/>
    <w:rsid w:val="00B26AB8"/>
    <w:rsid w:val="00B26B23"/>
    <w:rsid w:val="00B26CC9"/>
    <w:rsid w:val="00B26CEB"/>
    <w:rsid w:val="00B26D8E"/>
    <w:rsid w:val="00B26E19"/>
    <w:rsid w:val="00B26F1A"/>
    <w:rsid w:val="00B270AE"/>
    <w:rsid w:val="00B274D8"/>
    <w:rsid w:val="00B2759B"/>
    <w:rsid w:val="00B27615"/>
    <w:rsid w:val="00B277D8"/>
    <w:rsid w:val="00B27A24"/>
    <w:rsid w:val="00B27C63"/>
    <w:rsid w:val="00B3086F"/>
    <w:rsid w:val="00B31398"/>
    <w:rsid w:val="00B313F5"/>
    <w:rsid w:val="00B320ED"/>
    <w:rsid w:val="00B32218"/>
    <w:rsid w:val="00B32B6A"/>
    <w:rsid w:val="00B32C71"/>
    <w:rsid w:val="00B32CF6"/>
    <w:rsid w:val="00B32ED0"/>
    <w:rsid w:val="00B33115"/>
    <w:rsid w:val="00B332E5"/>
    <w:rsid w:val="00B3365F"/>
    <w:rsid w:val="00B336CA"/>
    <w:rsid w:val="00B33815"/>
    <w:rsid w:val="00B338BD"/>
    <w:rsid w:val="00B3413D"/>
    <w:rsid w:val="00B34C57"/>
    <w:rsid w:val="00B34E24"/>
    <w:rsid w:val="00B34FFE"/>
    <w:rsid w:val="00B35223"/>
    <w:rsid w:val="00B353C1"/>
    <w:rsid w:val="00B35583"/>
    <w:rsid w:val="00B35AC0"/>
    <w:rsid w:val="00B35C91"/>
    <w:rsid w:val="00B35F22"/>
    <w:rsid w:val="00B363EF"/>
    <w:rsid w:val="00B364E1"/>
    <w:rsid w:val="00B3674E"/>
    <w:rsid w:val="00B369BB"/>
    <w:rsid w:val="00B3736F"/>
    <w:rsid w:val="00B37620"/>
    <w:rsid w:val="00B377B5"/>
    <w:rsid w:val="00B37946"/>
    <w:rsid w:val="00B37F6C"/>
    <w:rsid w:val="00B4001C"/>
    <w:rsid w:val="00B405EB"/>
    <w:rsid w:val="00B40AF6"/>
    <w:rsid w:val="00B40BA9"/>
    <w:rsid w:val="00B40BB2"/>
    <w:rsid w:val="00B40EFF"/>
    <w:rsid w:val="00B4105A"/>
    <w:rsid w:val="00B411A6"/>
    <w:rsid w:val="00B413B4"/>
    <w:rsid w:val="00B4149F"/>
    <w:rsid w:val="00B41F49"/>
    <w:rsid w:val="00B42A34"/>
    <w:rsid w:val="00B42E9B"/>
    <w:rsid w:val="00B42EF2"/>
    <w:rsid w:val="00B430F7"/>
    <w:rsid w:val="00B43863"/>
    <w:rsid w:val="00B43BF5"/>
    <w:rsid w:val="00B43C3D"/>
    <w:rsid w:val="00B445AE"/>
    <w:rsid w:val="00B446B9"/>
    <w:rsid w:val="00B4489E"/>
    <w:rsid w:val="00B44B25"/>
    <w:rsid w:val="00B4539F"/>
    <w:rsid w:val="00B45548"/>
    <w:rsid w:val="00B4562C"/>
    <w:rsid w:val="00B45AC9"/>
    <w:rsid w:val="00B45F90"/>
    <w:rsid w:val="00B46011"/>
    <w:rsid w:val="00B461D9"/>
    <w:rsid w:val="00B46E09"/>
    <w:rsid w:val="00B4722A"/>
    <w:rsid w:val="00B4725E"/>
    <w:rsid w:val="00B47397"/>
    <w:rsid w:val="00B47677"/>
    <w:rsid w:val="00B477EB"/>
    <w:rsid w:val="00B47856"/>
    <w:rsid w:val="00B47A5C"/>
    <w:rsid w:val="00B47D7F"/>
    <w:rsid w:val="00B47E75"/>
    <w:rsid w:val="00B50D84"/>
    <w:rsid w:val="00B51559"/>
    <w:rsid w:val="00B51AB3"/>
    <w:rsid w:val="00B51FF8"/>
    <w:rsid w:val="00B52671"/>
    <w:rsid w:val="00B52770"/>
    <w:rsid w:val="00B52F59"/>
    <w:rsid w:val="00B53117"/>
    <w:rsid w:val="00B53126"/>
    <w:rsid w:val="00B536CC"/>
    <w:rsid w:val="00B5383F"/>
    <w:rsid w:val="00B5392A"/>
    <w:rsid w:val="00B53B56"/>
    <w:rsid w:val="00B53C35"/>
    <w:rsid w:val="00B53E9D"/>
    <w:rsid w:val="00B5444A"/>
    <w:rsid w:val="00B54555"/>
    <w:rsid w:val="00B54666"/>
    <w:rsid w:val="00B548CD"/>
    <w:rsid w:val="00B555D4"/>
    <w:rsid w:val="00B55907"/>
    <w:rsid w:val="00B56943"/>
    <w:rsid w:val="00B56B87"/>
    <w:rsid w:val="00B56B89"/>
    <w:rsid w:val="00B56FFD"/>
    <w:rsid w:val="00B57059"/>
    <w:rsid w:val="00B572AD"/>
    <w:rsid w:val="00B576E8"/>
    <w:rsid w:val="00B5785A"/>
    <w:rsid w:val="00B57B9C"/>
    <w:rsid w:val="00B57CC8"/>
    <w:rsid w:val="00B57EF9"/>
    <w:rsid w:val="00B57F68"/>
    <w:rsid w:val="00B57F84"/>
    <w:rsid w:val="00B601CD"/>
    <w:rsid w:val="00B60342"/>
    <w:rsid w:val="00B605F1"/>
    <w:rsid w:val="00B60725"/>
    <w:rsid w:val="00B60A80"/>
    <w:rsid w:val="00B60D12"/>
    <w:rsid w:val="00B616D1"/>
    <w:rsid w:val="00B61E7E"/>
    <w:rsid w:val="00B624EF"/>
    <w:rsid w:val="00B62B75"/>
    <w:rsid w:val="00B62ED9"/>
    <w:rsid w:val="00B63069"/>
    <w:rsid w:val="00B636AC"/>
    <w:rsid w:val="00B6371B"/>
    <w:rsid w:val="00B6373D"/>
    <w:rsid w:val="00B63DD1"/>
    <w:rsid w:val="00B641F5"/>
    <w:rsid w:val="00B644E9"/>
    <w:rsid w:val="00B6450B"/>
    <w:rsid w:val="00B64641"/>
    <w:rsid w:val="00B64CC2"/>
    <w:rsid w:val="00B65174"/>
    <w:rsid w:val="00B65E0E"/>
    <w:rsid w:val="00B660AD"/>
    <w:rsid w:val="00B66124"/>
    <w:rsid w:val="00B6642C"/>
    <w:rsid w:val="00B6693B"/>
    <w:rsid w:val="00B67005"/>
    <w:rsid w:val="00B6759E"/>
    <w:rsid w:val="00B67628"/>
    <w:rsid w:val="00B679A1"/>
    <w:rsid w:val="00B67B76"/>
    <w:rsid w:val="00B7005C"/>
    <w:rsid w:val="00B70153"/>
    <w:rsid w:val="00B702F3"/>
    <w:rsid w:val="00B70753"/>
    <w:rsid w:val="00B70897"/>
    <w:rsid w:val="00B70A90"/>
    <w:rsid w:val="00B70AE3"/>
    <w:rsid w:val="00B70DD0"/>
    <w:rsid w:val="00B70E5C"/>
    <w:rsid w:val="00B70ECD"/>
    <w:rsid w:val="00B7186B"/>
    <w:rsid w:val="00B71F08"/>
    <w:rsid w:val="00B7260A"/>
    <w:rsid w:val="00B729F1"/>
    <w:rsid w:val="00B73158"/>
    <w:rsid w:val="00B73D7C"/>
    <w:rsid w:val="00B73E44"/>
    <w:rsid w:val="00B73E5A"/>
    <w:rsid w:val="00B73F97"/>
    <w:rsid w:val="00B74B54"/>
    <w:rsid w:val="00B75206"/>
    <w:rsid w:val="00B75268"/>
    <w:rsid w:val="00B7533C"/>
    <w:rsid w:val="00B75D0B"/>
    <w:rsid w:val="00B76757"/>
    <w:rsid w:val="00B76A6E"/>
    <w:rsid w:val="00B771C7"/>
    <w:rsid w:val="00B77279"/>
    <w:rsid w:val="00B77415"/>
    <w:rsid w:val="00B775FC"/>
    <w:rsid w:val="00B77B24"/>
    <w:rsid w:val="00B77C72"/>
    <w:rsid w:val="00B77D44"/>
    <w:rsid w:val="00B77D6A"/>
    <w:rsid w:val="00B77F6D"/>
    <w:rsid w:val="00B800EE"/>
    <w:rsid w:val="00B8027D"/>
    <w:rsid w:val="00B80F1F"/>
    <w:rsid w:val="00B8129F"/>
    <w:rsid w:val="00B816A3"/>
    <w:rsid w:val="00B81B97"/>
    <w:rsid w:val="00B81D03"/>
    <w:rsid w:val="00B81F2E"/>
    <w:rsid w:val="00B81F41"/>
    <w:rsid w:val="00B822F8"/>
    <w:rsid w:val="00B825DF"/>
    <w:rsid w:val="00B82697"/>
    <w:rsid w:val="00B828E6"/>
    <w:rsid w:val="00B82966"/>
    <w:rsid w:val="00B82C28"/>
    <w:rsid w:val="00B82DDB"/>
    <w:rsid w:val="00B82E85"/>
    <w:rsid w:val="00B82FDB"/>
    <w:rsid w:val="00B835E2"/>
    <w:rsid w:val="00B83A56"/>
    <w:rsid w:val="00B8426D"/>
    <w:rsid w:val="00B84731"/>
    <w:rsid w:val="00B848C4"/>
    <w:rsid w:val="00B84C00"/>
    <w:rsid w:val="00B84E30"/>
    <w:rsid w:val="00B8531F"/>
    <w:rsid w:val="00B85D03"/>
    <w:rsid w:val="00B85D8A"/>
    <w:rsid w:val="00B85E51"/>
    <w:rsid w:val="00B86794"/>
    <w:rsid w:val="00B87275"/>
    <w:rsid w:val="00B87B3E"/>
    <w:rsid w:val="00B87EFC"/>
    <w:rsid w:val="00B87FDB"/>
    <w:rsid w:val="00B87FE8"/>
    <w:rsid w:val="00B90041"/>
    <w:rsid w:val="00B90215"/>
    <w:rsid w:val="00B905C3"/>
    <w:rsid w:val="00B90608"/>
    <w:rsid w:val="00B90911"/>
    <w:rsid w:val="00B90F42"/>
    <w:rsid w:val="00B90F7B"/>
    <w:rsid w:val="00B90F98"/>
    <w:rsid w:val="00B91067"/>
    <w:rsid w:val="00B91540"/>
    <w:rsid w:val="00B91FFE"/>
    <w:rsid w:val="00B9254C"/>
    <w:rsid w:val="00B9294B"/>
    <w:rsid w:val="00B92A98"/>
    <w:rsid w:val="00B931A8"/>
    <w:rsid w:val="00B932E1"/>
    <w:rsid w:val="00B9344A"/>
    <w:rsid w:val="00B939A4"/>
    <w:rsid w:val="00B93EC9"/>
    <w:rsid w:val="00B93F27"/>
    <w:rsid w:val="00B9406B"/>
    <w:rsid w:val="00B940B5"/>
    <w:rsid w:val="00B9458B"/>
    <w:rsid w:val="00B94E9B"/>
    <w:rsid w:val="00B94F5A"/>
    <w:rsid w:val="00B94F87"/>
    <w:rsid w:val="00B95D8E"/>
    <w:rsid w:val="00B95EE9"/>
    <w:rsid w:val="00B96093"/>
    <w:rsid w:val="00B96314"/>
    <w:rsid w:val="00B96350"/>
    <w:rsid w:val="00B96FC2"/>
    <w:rsid w:val="00B970B9"/>
    <w:rsid w:val="00B974DB"/>
    <w:rsid w:val="00B97582"/>
    <w:rsid w:val="00B978DD"/>
    <w:rsid w:val="00B97F74"/>
    <w:rsid w:val="00BA0202"/>
    <w:rsid w:val="00BA02C0"/>
    <w:rsid w:val="00BA0A30"/>
    <w:rsid w:val="00BA0C40"/>
    <w:rsid w:val="00BA0EA7"/>
    <w:rsid w:val="00BA1163"/>
    <w:rsid w:val="00BA189D"/>
    <w:rsid w:val="00BA1BF4"/>
    <w:rsid w:val="00BA1CA2"/>
    <w:rsid w:val="00BA1CE4"/>
    <w:rsid w:val="00BA2415"/>
    <w:rsid w:val="00BA28FD"/>
    <w:rsid w:val="00BA2C38"/>
    <w:rsid w:val="00BA2C70"/>
    <w:rsid w:val="00BA31DF"/>
    <w:rsid w:val="00BA33A9"/>
    <w:rsid w:val="00BA35CA"/>
    <w:rsid w:val="00BA3787"/>
    <w:rsid w:val="00BA3A6C"/>
    <w:rsid w:val="00BA43BA"/>
    <w:rsid w:val="00BA4741"/>
    <w:rsid w:val="00BA487A"/>
    <w:rsid w:val="00BA4DAC"/>
    <w:rsid w:val="00BA4DAF"/>
    <w:rsid w:val="00BA4EB6"/>
    <w:rsid w:val="00BA5454"/>
    <w:rsid w:val="00BA56D6"/>
    <w:rsid w:val="00BA589A"/>
    <w:rsid w:val="00BA5A71"/>
    <w:rsid w:val="00BA5C31"/>
    <w:rsid w:val="00BA61F5"/>
    <w:rsid w:val="00BA684F"/>
    <w:rsid w:val="00BA6BEC"/>
    <w:rsid w:val="00BA71B5"/>
    <w:rsid w:val="00BA7201"/>
    <w:rsid w:val="00BA745F"/>
    <w:rsid w:val="00BA7562"/>
    <w:rsid w:val="00BA781C"/>
    <w:rsid w:val="00BA7CBC"/>
    <w:rsid w:val="00BB03F6"/>
    <w:rsid w:val="00BB05E9"/>
    <w:rsid w:val="00BB0622"/>
    <w:rsid w:val="00BB087D"/>
    <w:rsid w:val="00BB0987"/>
    <w:rsid w:val="00BB1301"/>
    <w:rsid w:val="00BB132A"/>
    <w:rsid w:val="00BB1799"/>
    <w:rsid w:val="00BB1940"/>
    <w:rsid w:val="00BB1EB7"/>
    <w:rsid w:val="00BB206D"/>
    <w:rsid w:val="00BB2420"/>
    <w:rsid w:val="00BB28B1"/>
    <w:rsid w:val="00BB31B4"/>
    <w:rsid w:val="00BB35AF"/>
    <w:rsid w:val="00BB38CB"/>
    <w:rsid w:val="00BB3B96"/>
    <w:rsid w:val="00BB3EBC"/>
    <w:rsid w:val="00BB4295"/>
    <w:rsid w:val="00BB44B8"/>
    <w:rsid w:val="00BB4F12"/>
    <w:rsid w:val="00BB545E"/>
    <w:rsid w:val="00BB5924"/>
    <w:rsid w:val="00BB615C"/>
    <w:rsid w:val="00BB64CA"/>
    <w:rsid w:val="00BB6587"/>
    <w:rsid w:val="00BB6E15"/>
    <w:rsid w:val="00BB6E93"/>
    <w:rsid w:val="00BB70A1"/>
    <w:rsid w:val="00BB77E5"/>
    <w:rsid w:val="00BB79F1"/>
    <w:rsid w:val="00BB7FE5"/>
    <w:rsid w:val="00BC0239"/>
    <w:rsid w:val="00BC05BA"/>
    <w:rsid w:val="00BC0DC2"/>
    <w:rsid w:val="00BC1A60"/>
    <w:rsid w:val="00BC1A65"/>
    <w:rsid w:val="00BC1EB5"/>
    <w:rsid w:val="00BC1FCC"/>
    <w:rsid w:val="00BC203C"/>
    <w:rsid w:val="00BC21ED"/>
    <w:rsid w:val="00BC22FB"/>
    <w:rsid w:val="00BC354C"/>
    <w:rsid w:val="00BC3B4C"/>
    <w:rsid w:val="00BC3BA8"/>
    <w:rsid w:val="00BC3C70"/>
    <w:rsid w:val="00BC3F05"/>
    <w:rsid w:val="00BC4838"/>
    <w:rsid w:val="00BC4960"/>
    <w:rsid w:val="00BC4D6B"/>
    <w:rsid w:val="00BC4FD9"/>
    <w:rsid w:val="00BC5230"/>
    <w:rsid w:val="00BC5929"/>
    <w:rsid w:val="00BC6943"/>
    <w:rsid w:val="00BC6E2C"/>
    <w:rsid w:val="00BC72CB"/>
    <w:rsid w:val="00BC74E5"/>
    <w:rsid w:val="00BC79C6"/>
    <w:rsid w:val="00BC7B02"/>
    <w:rsid w:val="00BC7B51"/>
    <w:rsid w:val="00BC7C8D"/>
    <w:rsid w:val="00BC7EDF"/>
    <w:rsid w:val="00BC7F5A"/>
    <w:rsid w:val="00BD09ED"/>
    <w:rsid w:val="00BD0CCA"/>
    <w:rsid w:val="00BD129D"/>
    <w:rsid w:val="00BD14D4"/>
    <w:rsid w:val="00BD17FF"/>
    <w:rsid w:val="00BD1DDF"/>
    <w:rsid w:val="00BD22D8"/>
    <w:rsid w:val="00BD290A"/>
    <w:rsid w:val="00BD2913"/>
    <w:rsid w:val="00BD2BEF"/>
    <w:rsid w:val="00BD2D45"/>
    <w:rsid w:val="00BD2D46"/>
    <w:rsid w:val="00BD2DBC"/>
    <w:rsid w:val="00BD2FD7"/>
    <w:rsid w:val="00BD3258"/>
    <w:rsid w:val="00BD334A"/>
    <w:rsid w:val="00BD342E"/>
    <w:rsid w:val="00BD3692"/>
    <w:rsid w:val="00BD3D2F"/>
    <w:rsid w:val="00BD3D59"/>
    <w:rsid w:val="00BD3DCB"/>
    <w:rsid w:val="00BD42C9"/>
    <w:rsid w:val="00BD4373"/>
    <w:rsid w:val="00BD437B"/>
    <w:rsid w:val="00BD470C"/>
    <w:rsid w:val="00BD4898"/>
    <w:rsid w:val="00BD54E4"/>
    <w:rsid w:val="00BD55FD"/>
    <w:rsid w:val="00BD5BA5"/>
    <w:rsid w:val="00BD5E74"/>
    <w:rsid w:val="00BD5F85"/>
    <w:rsid w:val="00BD6105"/>
    <w:rsid w:val="00BD6344"/>
    <w:rsid w:val="00BD650C"/>
    <w:rsid w:val="00BD66E1"/>
    <w:rsid w:val="00BD6A6B"/>
    <w:rsid w:val="00BD7059"/>
    <w:rsid w:val="00BD7071"/>
    <w:rsid w:val="00BD73EA"/>
    <w:rsid w:val="00BD7429"/>
    <w:rsid w:val="00BD7466"/>
    <w:rsid w:val="00BD7503"/>
    <w:rsid w:val="00BD751D"/>
    <w:rsid w:val="00BD77C8"/>
    <w:rsid w:val="00BD7B34"/>
    <w:rsid w:val="00BD7F1F"/>
    <w:rsid w:val="00BE077F"/>
    <w:rsid w:val="00BE0949"/>
    <w:rsid w:val="00BE09E3"/>
    <w:rsid w:val="00BE0E35"/>
    <w:rsid w:val="00BE115A"/>
    <w:rsid w:val="00BE1224"/>
    <w:rsid w:val="00BE17AF"/>
    <w:rsid w:val="00BE198D"/>
    <w:rsid w:val="00BE1AF4"/>
    <w:rsid w:val="00BE1EB2"/>
    <w:rsid w:val="00BE1EF7"/>
    <w:rsid w:val="00BE1FB5"/>
    <w:rsid w:val="00BE209C"/>
    <w:rsid w:val="00BE2295"/>
    <w:rsid w:val="00BE2644"/>
    <w:rsid w:val="00BE2864"/>
    <w:rsid w:val="00BE29E8"/>
    <w:rsid w:val="00BE2C19"/>
    <w:rsid w:val="00BE2C54"/>
    <w:rsid w:val="00BE2F6C"/>
    <w:rsid w:val="00BE3918"/>
    <w:rsid w:val="00BE3B2C"/>
    <w:rsid w:val="00BE3C2B"/>
    <w:rsid w:val="00BE411A"/>
    <w:rsid w:val="00BE4703"/>
    <w:rsid w:val="00BE4922"/>
    <w:rsid w:val="00BE4EF9"/>
    <w:rsid w:val="00BE552D"/>
    <w:rsid w:val="00BE59AE"/>
    <w:rsid w:val="00BE6370"/>
    <w:rsid w:val="00BE68AC"/>
    <w:rsid w:val="00BE6C1A"/>
    <w:rsid w:val="00BE6F9E"/>
    <w:rsid w:val="00BE7308"/>
    <w:rsid w:val="00BE7556"/>
    <w:rsid w:val="00BE7722"/>
    <w:rsid w:val="00BE772F"/>
    <w:rsid w:val="00BE7951"/>
    <w:rsid w:val="00BE79A6"/>
    <w:rsid w:val="00BE7A93"/>
    <w:rsid w:val="00BE7D8F"/>
    <w:rsid w:val="00BF04B1"/>
    <w:rsid w:val="00BF05C8"/>
    <w:rsid w:val="00BF0656"/>
    <w:rsid w:val="00BF0DDD"/>
    <w:rsid w:val="00BF0EDA"/>
    <w:rsid w:val="00BF108F"/>
    <w:rsid w:val="00BF2028"/>
    <w:rsid w:val="00BF214D"/>
    <w:rsid w:val="00BF21E4"/>
    <w:rsid w:val="00BF2CAC"/>
    <w:rsid w:val="00BF2DC2"/>
    <w:rsid w:val="00BF2DEB"/>
    <w:rsid w:val="00BF30E4"/>
    <w:rsid w:val="00BF3520"/>
    <w:rsid w:val="00BF36AF"/>
    <w:rsid w:val="00BF36C3"/>
    <w:rsid w:val="00BF3A39"/>
    <w:rsid w:val="00BF3A69"/>
    <w:rsid w:val="00BF3D1C"/>
    <w:rsid w:val="00BF3D96"/>
    <w:rsid w:val="00BF3E49"/>
    <w:rsid w:val="00BF452E"/>
    <w:rsid w:val="00BF4B0F"/>
    <w:rsid w:val="00BF5311"/>
    <w:rsid w:val="00BF548B"/>
    <w:rsid w:val="00BF576D"/>
    <w:rsid w:val="00BF58B7"/>
    <w:rsid w:val="00BF5A30"/>
    <w:rsid w:val="00BF5E31"/>
    <w:rsid w:val="00BF5EFD"/>
    <w:rsid w:val="00BF61A8"/>
    <w:rsid w:val="00BF6490"/>
    <w:rsid w:val="00BF65CE"/>
    <w:rsid w:val="00BF68A5"/>
    <w:rsid w:val="00BF68F5"/>
    <w:rsid w:val="00BF7341"/>
    <w:rsid w:val="00BF7513"/>
    <w:rsid w:val="00BF7935"/>
    <w:rsid w:val="00BF7BDE"/>
    <w:rsid w:val="00BF7FE1"/>
    <w:rsid w:val="00C00180"/>
    <w:rsid w:val="00C0054E"/>
    <w:rsid w:val="00C00C95"/>
    <w:rsid w:val="00C00CE1"/>
    <w:rsid w:val="00C01048"/>
    <w:rsid w:val="00C01265"/>
    <w:rsid w:val="00C01295"/>
    <w:rsid w:val="00C014B4"/>
    <w:rsid w:val="00C01AC0"/>
    <w:rsid w:val="00C01B3C"/>
    <w:rsid w:val="00C01CEB"/>
    <w:rsid w:val="00C0272F"/>
    <w:rsid w:val="00C0276F"/>
    <w:rsid w:val="00C02910"/>
    <w:rsid w:val="00C02D09"/>
    <w:rsid w:val="00C037DB"/>
    <w:rsid w:val="00C03C33"/>
    <w:rsid w:val="00C03D87"/>
    <w:rsid w:val="00C040B6"/>
    <w:rsid w:val="00C04871"/>
    <w:rsid w:val="00C04A1F"/>
    <w:rsid w:val="00C050E6"/>
    <w:rsid w:val="00C053B2"/>
    <w:rsid w:val="00C05AEA"/>
    <w:rsid w:val="00C05C0A"/>
    <w:rsid w:val="00C06081"/>
    <w:rsid w:val="00C073B3"/>
    <w:rsid w:val="00C075A7"/>
    <w:rsid w:val="00C075C3"/>
    <w:rsid w:val="00C0769C"/>
    <w:rsid w:val="00C076BC"/>
    <w:rsid w:val="00C07CC0"/>
    <w:rsid w:val="00C10075"/>
    <w:rsid w:val="00C103F1"/>
    <w:rsid w:val="00C10569"/>
    <w:rsid w:val="00C109F3"/>
    <w:rsid w:val="00C10A3B"/>
    <w:rsid w:val="00C10F4A"/>
    <w:rsid w:val="00C113CC"/>
    <w:rsid w:val="00C1216A"/>
    <w:rsid w:val="00C12387"/>
    <w:rsid w:val="00C1289A"/>
    <w:rsid w:val="00C128FC"/>
    <w:rsid w:val="00C1290F"/>
    <w:rsid w:val="00C12C9F"/>
    <w:rsid w:val="00C134BD"/>
    <w:rsid w:val="00C13665"/>
    <w:rsid w:val="00C13D9E"/>
    <w:rsid w:val="00C1404F"/>
    <w:rsid w:val="00C14783"/>
    <w:rsid w:val="00C14874"/>
    <w:rsid w:val="00C149FE"/>
    <w:rsid w:val="00C153EF"/>
    <w:rsid w:val="00C15598"/>
    <w:rsid w:val="00C15C9A"/>
    <w:rsid w:val="00C15E10"/>
    <w:rsid w:val="00C1635C"/>
    <w:rsid w:val="00C163A3"/>
    <w:rsid w:val="00C168B0"/>
    <w:rsid w:val="00C16C71"/>
    <w:rsid w:val="00C17DA9"/>
    <w:rsid w:val="00C17E06"/>
    <w:rsid w:val="00C203BE"/>
    <w:rsid w:val="00C2087C"/>
    <w:rsid w:val="00C20A32"/>
    <w:rsid w:val="00C20A58"/>
    <w:rsid w:val="00C20D3D"/>
    <w:rsid w:val="00C20ECC"/>
    <w:rsid w:val="00C21539"/>
    <w:rsid w:val="00C217E8"/>
    <w:rsid w:val="00C219D0"/>
    <w:rsid w:val="00C21C00"/>
    <w:rsid w:val="00C22172"/>
    <w:rsid w:val="00C224D4"/>
    <w:rsid w:val="00C225EC"/>
    <w:rsid w:val="00C23324"/>
    <w:rsid w:val="00C2387E"/>
    <w:rsid w:val="00C23A9B"/>
    <w:rsid w:val="00C23ACC"/>
    <w:rsid w:val="00C23C42"/>
    <w:rsid w:val="00C23E62"/>
    <w:rsid w:val="00C23FB2"/>
    <w:rsid w:val="00C24267"/>
    <w:rsid w:val="00C24741"/>
    <w:rsid w:val="00C247EE"/>
    <w:rsid w:val="00C24A1F"/>
    <w:rsid w:val="00C24BB0"/>
    <w:rsid w:val="00C2530F"/>
    <w:rsid w:val="00C25B6B"/>
    <w:rsid w:val="00C25D7D"/>
    <w:rsid w:val="00C2600C"/>
    <w:rsid w:val="00C26048"/>
    <w:rsid w:val="00C260F8"/>
    <w:rsid w:val="00C2621D"/>
    <w:rsid w:val="00C26DA4"/>
    <w:rsid w:val="00C26F19"/>
    <w:rsid w:val="00C27025"/>
    <w:rsid w:val="00C2758A"/>
    <w:rsid w:val="00C2799E"/>
    <w:rsid w:val="00C27FBD"/>
    <w:rsid w:val="00C30852"/>
    <w:rsid w:val="00C30B0B"/>
    <w:rsid w:val="00C30C38"/>
    <w:rsid w:val="00C30D0D"/>
    <w:rsid w:val="00C30D22"/>
    <w:rsid w:val="00C30D62"/>
    <w:rsid w:val="00C31043"/>
    <w:rsid w:val="00C311FD"/>
    <w:rsid w:val="00C31859"/>
    <w:rsid w:val="00C319D8"/>
    <w:rsid w:val="00C31B98"/>
    <w:rsid w:val="00C32227"/>
    <w:rsid w:val="00C334FD"/>
    <w:rsid w:val="00C33AD2"/>
    <w:rsid w:val="00C34181"/>
    <w:rsid w:val="00C34435"/>
    <w:rsid w:val="00C3473E"/>
    <w:rsid w:val="00C347B5"/>
    <w:rsid w:val="00C34C24"/>
    <w:rsid w:val="00C34D39"/>
    <w:rsid w:val="00C34FB6"/>
    <w:rsid w:val="00C3582D"/>
    <w:rsid w:val="00C363F7"/>
    <w:rsid w:val="00C36411"/>
    <w:rsid w:val="00C365A6"/>
    <w:rsid w:val="00C367CE"/>
    <w:rsid w:val="00C36B0B"/>
    <w:rsid w:val="00C36F3A"/>
    <w:rsid w:val="00C37033"/>
    <w:rsid w:val="00C37292"/>
    <w:rsid w:val="00C37369"/>
    <w:rsid w:val="00C373F3"/>
    <w:rsid w:val="00C3767B"/>
    <w:rsid w:val="00C37BB7"/>
    <w:rsid w:val="00C37DF1"/>
    <w:rsid w:val="00C37FDD"/>
    <w:rsid w:val="00C40504"/>
    <w:rsid w:val="00C416CE"/>
    <w:rsid w:val="00C41983"/>
    <w:rsid w:val="00C41E1C"/>
    <w:rsid w:val="00C41E67"/>
    <w:rsid w:val="00C4231B"/>
    <w:rsid w:val="00C42741"/>
    <w:rsid w:val="00C4278B"/>
    <w:rsid w:val="00C42BF9"/>
    <w:rsid w:val="00C42C17"/>
    <w:rsid w:val="00C42EAA"/>
    <w:rsid w:val="00C42F2C"/>
    <w:rsid w:val="00C43176"/>
    <w:rsid w:val="00C4358B"/>
    <w:rsid w:val="00C4384B"/>
    <w:rsid w:val="00C438ED"/>
    <w:rsid w:val="00C43C81"/>
    <w:rsid w:val="00C4407E"/>
    <w:rsid w:val="00C44713"/>
    <w:rsid w:val="00C4492E"/>
    <w:rsid w:val="00C449BB"/>
    <w:rsid w:val="00C44B2D"/>
    <w:rsid w:val="00C44B3E"/>
    <w:rsid w:val="00C44EC1"/>
    <w:rsid w:val="00C45593"/>
    <w:rsid w:val="00C45799"/>
    <w:rsid w:val="00C457FE"/>
    <w:rsid w:val="00C4596B"/>
    <w:rsid w:val="00C45B84"/>
    <w:rsid w:val="00C45F5A"/>
    <w:rsid w:val="00C461E2"/>
    <w:rsid w:val="00C464A0"/>
    <w:rsid w:val="00C466EE"/>
    <w:rsid w:val="00C4670A"/>
    <w:rsid w:val="00C468A2"/>
    <w:rsid w:val="00C469F3"/>
    <w:rsid w:val="00C46A87"/>
    <w:rsid w:val="00C47244"/>
    <w:rsid w:val="00C472DC"/>
    <w:rsid w:val="00C47809"/>
    <w:rsid w:val="00C47F09"/>
    <w:rsid w:val="00C47F87"/>
    <w:rsid w:val="00C500AC"/>
    <w:rsid w:val="00C50214"/>
    <w:rsid w:val="00C51518"/>
    <w:rsid w:val="00C51D12"/>
    <w:rsid w:val="00C51FD4"/>
    <w:rsid w:val="00C5232D"/>
    <w:rsid w:val="00C527F2"/>
    <w:rsid w:val="00C52A0F"/>
    <w:rsid w:val="00C5311C"/>
    <w:rsid w:val="00C5334A"/>
    <w:rsid w:val="00C5339F"/>
    <w:rsid w:val="00C5341E"/>
    <w:rsid w:val="00C5356C"/>
    <w:rsid w:val="00C5382D"/>
    <w:rsid w:val="00C53953"/>
    <w:rsid w:val="00C53BCC"/>
    <w:rsid w:val="00C53DD8"/>
    <w:rsid w:val="00C54BF8"/>
    <w:rsid w:val="00C54CB7"/>
    <w:rsid w:val="00C550E2"/>
    <w:rsid w:val="00C55102"/>
    <w:rsid w:val="00C5522D"/>
    <w:rsid w:val="00C555E0"/>
    <w:rsid w:val="00C556D7"/>
    <w:rsid w:val="00C55824"/>
    <w:rsid w:val="00C558D8"/>
    <w:rsid w:val="00C55A39"/>
    <w:rsid w:val="00C55BA4"/>
    <w:rsid w:val="00C55D4F"/>
    <w:rsid w:val="00C560A1"/>
    <w:rsid w:val="00C564D4"/>
    <w:rsid w:val="00C56672"/>
    <w:rsid w:val="00C56B3E"/>
    <w:rsid w:val="00C56DB5"/>
    <w:rsid w:val="00C5782A"/>
    <w:rsid w:val="00C57876"/>
    <w:rsid w:val="00C578B0"/>
    <w:rsid w:val="00C57A10"/>
    <w:rsid w:val="00C60414"/>
    <w:rsid w:val="00C6066D"/>
    <w:rsid w:val="00C609D4"/>
    <w:rsid w:val="00C60DF4"/>
    <w:rsid w:val="00C61F4B"/>
    <w:rsid w:val="00C62070"/>
    <w:rsid w:val="00C626D5"/>
    <w:rsid w:val="00C6271B"/>
    <w:rsid w:val="00C62AF0"/>
    <w:rsid w:val="00C6335B"/>
    <w:rsid w:val="00C6342F"/>
    <w:rsid w:val="00C63530"/>
    <w:rsid w:val="00C635C2"/>
    <w:rsid w:val="00C63CEB"/>
    <w:rsid w:val="00C63F61"/>
    <w:rsid w:val="00C63FE0"/>
    <w:rsid w:val="00C64359"/>
    <w:rsid w:val="00C644C8"/>
    <w:rsid w:val="00C64AFA"/>
    <w:rsid w:val="00C651C2"/>
    <w:rsid w:val="00C655CE"/>
    <w:rsid w:val="00C6566F"/>
    <w:rsid w:val="00C65785"/>
    <w:rsid w:val="00C657BE"/>
    <w:rsid w:val="00C65B52"/>
    <w:rsid w:val="00C65BDD"/>
    <w:rsid w:val="00C66297"/>
    <w:rsid w:val="00C66673"/>
    <w:rsid w:val="00C675F1"/>
    <w:rsid w:val="00C67981"/>
    <w:rsid w:val="00C67A9D"/>
    <w:rsid w:val="00C67B26"/>
    <w:rsid w:val="00C67CC9"/>
    <w:rsid w:val="00C67EA9"/>
    <w:rsid w:val="00C7068F"/>
    <w:rsid w:val="00C70D1C"/>
    <w:rsid w:val="00C70F0E"/>
    <w:rsid w:val="00C710F4"/>
    <w:rsid w:val="00C7129C"/>
    <w:rsid w:val="00C7159D"/>
    <w:rsid w:val="00C71C47"/>
    <w:rsid w:val="00C71E78"/>
    <w:rsid w:val="00C720D8"/>
    <w:rsid w:val="00C72378"/>
    <w:rsid w:val="00C72963"/>
    <w:rsid w:val="00C72B96"/>
    <w:rsid w:val="00C72F13"/>
    <w:rsid w:val="00C73379"/>
    <w:rsid w:val="00C7345C"/>
    <w:rsid w:val="00C7373C"/>
    <w:rsid w:val="00C742E3"/>
    <w:rsid w:val="00C7448E"/>
    <w:rsid w:val="00C7452A"/>
    <w:rsid w:val="00C747FD"/>
    <w:rsid w:val="00C75001"/>
    <w:rsid w:val="00C750C2"/>
    <w:rsid w:val="00C75170"/>
    <w:rsid w:val="00C75258"/>
    <w:rsid w:val="00C75272"/>
    <w:rsid w:val="00C752F0"/>
    <w:rsid w:val="00C753FC"/>
    <w:rsid w:val="00C7543F"/>
    <w:rsid w:val="00C755DC"/>
    <w:rsid w:val="00C75B5C"/>
    <w:rsid w:val="00C75DD3"/>
    <w:rsid w:val="00C75FF6"/>
    <w:rsid w:val="00C763E6"/>
    <w:rsid w:val="00C76418"/>
    <w:rsid w:val="00C76717"/>
    <w:rsid w:val="00C769A5"/>
    <w:rsid w:val="00C7706A"/>
    <w:rsid w:val="00C770F7"/>
    <w:rsid w:val="00C77BA9"/>
    <w:rsid w:val="00C77CEF"/>
    <w:rsid w:val="00C77F47"/>
    <w:rsid w:val="00C8055E"/>
    <w:rsid w:val="00C807F3"/>
    <w:rsid w:val="00C80B3D"/>
    <w:rsid w:val="00C810A6"/>
    <w:rsid w:val="00C81F8A"/>
    <w:rsid w:val="00C82027"/>
    <w:rsid w:val="00C82047"/>
    <w:rsid w:val="00C82710"/>
    <w:rsid w:val="00C829B3"/>
    <w:rsid w:val="00C829B8"/>
    <w:rsid w:val="00C82B4A"/>
    <w:rsid w:val="00C82D30"/>
    <w:rsid w:val="00C83135"/>
    <w:rsid w:val="00C83154"/>
    <w:rsid w:val="00C833BB"/>
    <w:rsid w:val="00C834F3"/>
    <w:rsid w:val="00C8354E"/>
    <w:rsid w:val="00C838C9"/>
    <w:rsid w:val="00C83ED0"/>
    <w:rsid w:val="00C842BD"/>
    <w:rsid w:val="00C842FC"/>
    <w:rsid w:val="00C84B7D"/>
    <w:rsid w:val="00C85775"/>
    <w:rsid w:val="00C858AA"/>
    <w:rsid w:val="00C8646C"/>
    <w:rsid w:val="00C8697F"/>
    <w:rsid w:val="00C86ADC"/>
    <w:rsid w:val="00C86BF7"/>
    <w:rsid w:val="00C86F79"/>
    <w:rsid w:val="00C87058"/>
    <w:rsid w:val="00C870C7"/>
    <w:rsid w:val="00C8739A"/>
    <w:rsid w:val="00C8762C"/>
    <w:rsid w:val="00C87A0C"/>
    <w:rsid w:val="00C87BBB"/>
    <w:rsid w:val="00C87EFF"/>
    <w:rsid w:val="00C87FD8"/>
    <w:rsid w:val="00C90117"/>
    <w:rsid w:val="00C902B9"/>
    <w:rsid w:val="00C90354"/>
    <w:rsid w:val="00C9048C"/>
    <w:rsid w:val="00C908C9"/>
    <w:rsid w:val="00C90BC0"/>
    <w:rsid w:val="00C915EC"/>
    <w:rsid w:val="00C91835"/>
    <w:rsid w:val="00C91CB8"/>
    <w:rsid w:val="00C91F51"/>
    <w:rsid w:val="00C9219D"/>
    <w:rsid w:val="00C9230E"/>
    <w:rsid w:val="00C92435"/>
    <w:rsid w:val="00C9271D"/>
    <w:rsid w:val="00C92B55"/>
    <w:rsid w:val="00C92B70"/>
    <w:rsid w:val="00C92C81"/>
    <w:rsid w:val="00C92C8A"/>
    <w:rsid w:val="00C930BB"/>
    <w:rsid w:val="00C937D0"/>
    <w:rsid w:val="00C93CEA"/>
    <w:rsid w:val="00C93F47"/>
    <w:rsid w:val="00C942CE"/>
    <w:rsid w:val="00C942F6"/>
    <w:rsid w:val="00C945A6"/>
    <w:rsid w:val="00C945D9"/>
    <w:rsid w:val="00C94635"/>
    <w:rsid w:val="00C94846"/>
    <w:rsid w:val="00C9498D"/>
    <w:rsid w:val="00C9521D"/>
    <w:rsid w:val="00C954BA"/>
    <w:rsid w:val="00C9560A"/>
    <w:rsid w:val="00C9569E"/>
    <w:rsid w:val="00C95B34"/>
    <w:rsid w:val="00C95C87"/>
    <w:rsid w:val="00C95D13"/>
    <w:rsid w:val="00C96336"/>
    <w:rsid w:val="00C9657E"/>
    <w:rsid w:val="00C96D67"/>
    <w:rsid w:val="00C97096"/>
    <w:rsid w:val="00C9743E"/>
    <w:rsid w:val="00C97650"/>
    <w:rsid w:val="00C9766E"/>
    <w:rsid w:val="00C9770F"/>
    <w:rsid w:val="00C978B4"/>
    <w:rsid w:val="00C97BBD"/>
    <w:rsid w:val="00C97EBA"/>
    <w:rsid w:val="00C97FFC"/>
    <w:rsid w:val="00CA0021"/>
    <w:rsid w:val="00CA03F5"/>
    <w:rsid w:val="00CA0A60"/>
    <w:rsid w:val="00CA1198"/>
    <w:rsid w:val="00CA1466"/>
    <w:rsid w:val="00CA1B1A"/>
    <w:rsid w:val="00CA1CAB"/>
    <w:rsid w:val="00CA1CF5"/>
    <w:rsid w:val="00CA1F1E"/>
    <w:rsid w:val="00CA2541"/>
    <w:rsid w:val="00CA2B37"/>
    <w:rsid w:val="00CA2D7B"/>
    <w:rsid w:val="00CA2F12"/>
    <w:rsid w:val="00CA2FB3"/>
    <w:rsid w:val="00CA30F6"/>
    <w:rsid w:val="00CA3285"/>
    <w:rsid w:val="00CA3522"/>
    <w:rsid w:val="00CA3917"/>
    <w:rsid w:val="00CA3990"/>
    <w:rsid w:val="00CA3F38"/>
    <w:rsid w:val="00CA43C8"/>
    <w:rsid w:val="00CA446E"/>
    <w:rsid w:val="00CA47A5"/>
    <w:rsid w:val="00CA4825"/>
    <w:rsid w:val="00CA50A7"/>
    <w:rsid w:val="00CA50FB"/>
    <w:rsid w:val="00CA52FF"/>
    <w:rsid w:val="00CA55A4"/>
    <w:rsid w:val="00CA56C4"/>
    <w:rsid w:val="00CA56E7"/>
    <w:rsid w:val="00CA677B"/>
    <w:rsid w:val="00CA67DC"/>
    <w:rsid w:val="00CA687D"/>
    <w:rsid w:val="00CA720F"/>
    <w:rsid w:val="00CA7574"/>
    <w:rsid w:val="00CA7621"/>
    <w:rsid w:val="00CA783C"/>
    <w:rsid w:val="00CA7931"/>
    <w:rsid w:val="00CA7B8B"/>
    <w:rsid w:val="00CA7E01"/>
    <w:rsid w:val="00CB00B3"/>
    <w:rsid w:val="00CB0208"/>
    <w:rsid w:val="00CB02FA"/>
    <w:rsid w:val="00CB0328"/>
    <w:rsid w:val="00CB0343"/>
    <w:rsid w:val="00CB05A2"/>
    <w:rsid w:val="00CB0BA2"/>
    <w:rsid w:val="00CB0BF6"/>
    <w:rsid w:val="00CB10B3"/>
    <w:rsid w:val="00CB1151"/>
    <w:rsid w:val="00CB1299"/>
    <w:rsid w:val="00CB17BF"/>
    <w:rsid w:val="00CB1C5D"/>
    <w:rsid w:val="00CB1CFD"/>
    <w:rsid w:val="00CB2259"/>
    <w:rsid w:val="00CB225E"/>
    <w:rsid w:val="00CB268D"/>
    <w:rsid w:val="00CB2784"/>
    <w:rsid w:val="00CB2889"/>
    <w:rsid w:val="00CB28E9"/>
    <w:rsid w:val="00CB2C4D"/>
    <w:rsid w:val="00CB30E6"/>
    <w:rsid w:val="00CB3187"/>
    <w:rsid w:val="00CB3240"/>
    <w:rsid w:val="00CB329E"/>
    <w:rsid w:val="00CB3426"/>
    <w:rsid w:val="00CB3720"/>
    <w:rsid w:val="00CB3776"/>
    <w:rsid w:val="00CB3778"/>
    <w:rsid w:val="00CB3813"/>
    <w:rsid w:val="00CB410A"/>
    <w:rsid w:val="00CB4140"/>
    <w:rsid w:val="00CB48B6"/>
    <w:rsid w:val="00CB51D0"/>
    <w:rsid w:val="00CB5456"/>
    <w:rsid w:val="00CB5546"/>
    <w:rsid w:val="00CB55A9"/>
    <w:rsid w:val="00CB5905"/>
    <w:rsid w:val="00CB59CA"/>
    <w:rsid w:val="00CB5A3B"/>
    <w:rsid w:val="00CB5B77"/>
    <w:rsid w:val="00CB661F"/>
    <w:rsid w:val="00CB6A78"/>
    <w:rsid w:val="00CB717C"/>
    <w:rsid w:val="00CB7332"/>
    <w:rsid w:val="00CB734F"/>
    <w:rsid w:val="00CB7350"/>
    <w:rsid w:val="00CB79EA"/>
    <w:rsid w:val="00CC00D8"/>
    <w:rsid w:val="00CC021E"/>
    <w:rsid w:val="00CC072A"/>
    <w:rsid w:val="00CC0775"/>
    <w:rsid w:val="00CC0BD3"/>
    <w:rsid w:val="00CC0DE0"/>
    <w:rsid w:val="00CC0DF5"/>
    <w:rsid w:val="00CC1215"/>
    <w:rsid w:val="00CC137D"/>
    <w:rsid w:val="00CC1898"/>
    <w:rsid w:val="00CC1CD5"/>
    <w:rsid w:val="00CC2013"/>
    <w:rsid w:val="00CC2241"/>
    <w:rsid w:val="00CC2366"/>
    <w:rsid w:val="00CC23A9"/>
    <w:rsid w:val="00CC23DF"/>
    <w:rsid w:val="00CC270F"/>
    <w:rsid w:val="00CC29FF"/>
    <w:rsid w:val="00CC2A54"/>
    <w:rsid w:val="00CC2B61"/>
    <w:rsid w:val="00CC2BA8"/>
    <w:rsid w:val="00CC30A2"/>
    <w:rsid w:val="00CC332F"/>
    <w:rsid w:val="00CC33A3"/>
    <w:rsid w:val="00CC3CDD"/>
    <w:rsid w:val="00CC4374"/>
    <w:rsid w:val="00CC43F9"/>
    <w:rsid w:val="00CC4477"/>
    <w:rsid w:val="00CC49E6"/>
    <w:rsid w:val="00CC4A19"/>
    <w:rsid w:val="00CC4C4B"/>
    <w:rsid w:val="00CC50E0"/>
    <w:rsid w:val="00CC58E4"/>
    <w:rsid w:val="00CC59A7"/>
    <w:rsid w:val="00CC5DF2"/>
    <w:rsid w:val="00CC6026"/>
    <w:rsid w:val="00CC61F4"/>
    <w:rsid w:val="00CC6424"/>
    <w:rsid w:val="00CC64BE"/>
    <w:rsid w:val="00CC6803"/>
    <w:rsid w:val="00CC6F93"/>
    <w:rsid w:val="00CC7266"/>
    <w:rsid w:val="00CC72FD"/>
    <w:rsid w:val="00CC7388"/>
    <w:rsid w:val="00CC788D"/>
    <w:rsid w:val="00CC7E91"/>
    <w:rsid w:val="00CD0AC0"/>
    <w:rsid w:val="00CD0B10"/>
    <w:rsid w:val="00CD0C2B"/>
    <w:rsid w:val="00CD0E10"/>
    <w:rsid w:val="00CD1555"/>
    <w:rsid w:val="00CD15E2"/>
    <w:rsid w:val="00CD16FD"/>
    <w:rsid w:val="00CD189F"/>
    <w:rsid w:val="00CD2135"/>
    <w:rsid w:val="00CD259D"/>
    <w:rsid w:val="00CD2A3C"/>
    <w:rsid w:val="00CD2CE5"/>
    <w:rsid w:val="00CD2DD9"/>
    <w:rsid w:val="00CD303A"/>
    <w:rsid w:val="00CD334F"/>
    <w:rsid w:val="00CD3530"/>
    <w:rsid w:val="00CD3ADA"/>
    <w:rsid w:val="00CD3C6A"/>
    <w:rsid w:val="00CD3D6D"/>
    <w:rsid w:val="00CD3DC1"/>
    <w:rsid w:val="00CD3E23"/>
    <w:rsid w:val="00CD3E6D"/>
    <w:rsid w:val="00CD40CB"/>
    <w:rsid w:val="00CD41CD"/>
    <w:rsid w:val="00CD457D"/>
    <w:rsid w:val="00CD48B7"/>
    <w:rsid w:val="00CD4A94"/>
    <w:rsid w:val="00CD4BC4"/>
    <w:rsid w:val="00CD4D18"/>
    <w:rsid w:val="00CD4E21"/>
    <w:rsid w:val="00CD4E68"/>
    <w:rsid w:val="00CD5470"/>
    <w:rsid w:val="00CD5AD2"/>
    <w:rsid w:val="00CD62C5"/>
    <w:rsid w:val="00CD6344"/>
    <w:rsid w:val="00CD6898"/>
    <w:rsid w:val="00CD6B9E"/>
    <w:rsid w:val="00CD6CDB"/>
    <w:rsid w:val="00CD6EFE"/>
    <w:rsid w:val="00CD707D"/>
    <w:rsid w:val="00CD70C2"/>
    <w:rsid w:val="00CD71AC"/>
    <w:rsid w:val="00CD7615"/>
    <w:rsid w:val="00CD79A6"/>
    <w:rsid w:val="00CD7A96"/>
    <w:rsid w:val="00CD7DBB"/>
    <w:rsid w:val="00CE0278"/>
    <w:rsid w:val="00CE039C"/>
    <w:rsid w:val="00CE03EE"/>
    <w:rsid w:val="00CE08D8"/>
    <w:rsid w:val="00CE095D"/>
    <w:rsid w:val="00CE0D70"/>
    <w:rsid w:val="00CE1515"/>
    <w:rsid w:val="00CE1B99"/>
    <w:rsid w:val="00CE1DA6"/>
    <w:rsid w:val="00CE1EC0"/>
    <w:rsid w:val="00CE2743"/>
    <w:rsid w:val="00CE2BE9"/>
    <w:rsid w:val="00CE2C54"/>
    <w:rsid w:val="00CE2D34"/>
    <w:rsid w:val="00CE318A"/>
    <w:rsid w:val="00CE354C"/>
    <w:rsid w:val="00CE3EE3"/>
    <w:rsid w:val="00CE4BAA"/>
    <w:rsid w:val="00CE4D9B"/>
    <w:rsid w:val="00CE4E29"/>
    <w:rsid w:val="00CE54B4"/>
    <w:rsid w:val="00CE5591"/>
    <w:rsid w:val="00CE5830"/>
    <w:rsid w:val="00CE5989"/>
    <w:rsid w:val="00CE5D42"/>
    <w:rsid w:val="00CE6448"/>
    <w:rsid w:val="00CE65BB"/>
    <w:rsid w:val="00CE690E"/>
    <w:rsid w:val="00CE74C9"/>
    <w:rsid w:val="00CE7732"/>
    <w:rsid w:val="00CE7928"/>
    <w:rsid w:val="00CF002E"/>
    <w:rsid w:val="00CF0049"/>
    <w:rsid w:val="00CF00F8"/>
    <w:rsid w:val="00CF0107"/>
    <w:rsid w:val="00CF0812"/>
    <w:rsid w:val="00CF0B8B"/>
    <w:rsid w:val="00CF17B3"/>
    <w:rsid w:val="00CF1982"/>
    <w:rsid w:val="00CF19C2"/>
    <w:rsid w:val="00CF1A85"/>
    <w:rsid w:val="00CF1A98"/>
    <w:rsid w:val="00CF1B74"/>
    <w:rsid w:val="00CF2211"/>
    <w:rsid w:val="00CF2324"/>
    <w:rsid w:val="00CF268B"/>
    <w:rsid w:val="00CF26AA"/>
    <w:rsid w:val="00CF29A3"/>
    <w:rsid w:val="00CF2ED1"/>
    <w:rsid w:val="00CF30FA"/>
    <w:rsid w:val="00CF3368"/>
    <w:rsid w:val="00CF3E63"/>
    <w:rsid w:val="00CF4838"/>
    <w:rsid w:val="00CF4A36"/>
    <w:rsid w:val="00CF4B8C"/>
    <w:rsid w:val="00CF4E08"/>
    <w:rsid w:val="00CF4F5B"/>
    <w:rsid w:val="00CF5364"/>
    <w:rsid w:val="00CF553D"/>
    <w:rsid w:val="00CF5578"/>
    <w:rsid w:val="00CF5B35"/>
    <w:rsid w:val="00CF5D22"/>
    <w:rsid w:val="00CF5E01"/>
    <w:rsid w:val="00CF682E"/>
    <w:rsid w:val="00CF6B81"/>
    <w:rsid w:val="00CF6FE3"/>
    <w:rsid w:val="00CF7334"/>
    <w:rsid w:val="00CF7837"/>
    <w:rsid w:val="00CF7C77"/>
    <w:rsid w:val="00D002B8"/>
    <w:rsid w:val="00D002D5"/>
    <w:rsid w:val="00D0036E"/>
    <w:rsid w:val="00D003B7"/>
    <w:rsid w:val="00D009FF"/>
    <w:rsid w:val="00D00A67"/>
    <w:rsid w:val="00D00C82"/>
    <w:rsid w:val="00D00D80"/>
    <w:rsid w:val="00D00F77"/>
    <w:rsid w:val="00D010C8"/>
    <w:rsid w:val="00D011BF"/>
    <w:rsid w:val="00D01CE5"/>
    <w:rsid w:val="00D01FAA"/>
    <w:rsid w:val="00D02779"/>
    <w:rsid w:val="00D03549"/>
    <w:rsid w:val="00D036AD"/>
    <w:rsid w:val="00D037A6"/>
    <w:rsid w:val="00D03DB0"/>
    <w:rsid w:val="00D03DE8"/>
    <w:rsid w:val="00D03FC8"/>
    <w:rsid w:val="00D0417D"/>
    <w:rsid w:val="00D0429B"/>
    <w:rsid w:val="00D0432E"/>
    <w:rsid w:val="00D04DD6"/>
    <w:rsid w:val="00D04E8A"/>
    <w:rsid w:val="00D05215"/>
    <w:rsid w:val="00D054A9"/>
    <w:rsid w:val="00D054F4"/>
    <w:rsid w:val="00D056B1"/>
    <w:rsid w:val="00D056B5"/>
    <w:rsid w:val="00D0585C"/>
    <w:rsid w:val="00D05931"/>
    <w:rsid w:val="00D05B6D"/>
    <w:rsid w:val="00D05C23"/>
    <w:rsid w:val="00D05E8C"/>
    <w:rsid w:val="00D05EE2"/>
    <w:rsid w:val="00D06003"/>
    <w:rsid w:val="00D0619A"/>
    <w:rsid w:val="00D062E4"/>
    <w:rsid w:val="00D06653"/>
    <w:rsid w:val="00D06EF1"/>
    <w:rsid w:val="00D070FC"/>
    <w:rsid w:val="00D07486"/>
    <w:rsid w:val="00D077C7"/>
    <w:rsid w:val="00D07A5F"/>
    <w:rsid w:val="00D07F4B"/>
    <w:rsid w:val="00D10591"/>
    <w:rsid w:val="00D108E8"/>
    <w:rsid w:val="00D10DE9"/>
    <w:rsid w:val="00D10F92"/>
    <w:rsid w:val="00D1176B"/>
    <w:rsid w:val="00D11953"/>
    <w:rsid w:val="00D11B6E"/>
    <w:rsid w:val="00D11D0C"/>
    <w:rsid w:val="00D1290B"/>
    <w:rsid w:val="00D12917"/>
    <w:rsid w:val="00D12F01"/>
    <w:rsid w:val="00D135A9"/>
    <w:rsid w:val="00D135D0"/>
    <w:rsid w:val="00D1371D"/>
    <w:rsid w:val="00D13727"/>
    <w:rsid w:val="00D13DC6"/>
    <w:rsid w:val="00D14174"/>
    <w:rsid w:val="00D1466B"/>
    <w:rsid w:val="00D1496C"/>
    <w:rsid w:val="00D14A52"/>
    <w:rsid w:val="00D14CB7"/>
    <w:rsid w:val="00D150D5"/>
    <w:rsid w:val="00D1524C"/>
    <w:rsid w:val="00D15A99"/>
    <w:rsid w:val="00D15D0D"/>
    <w:rsid w:val="00D16012"/>
    <w:rsid w:val="00D1694F"/>
    <w:rsid w:val="00D169C0"/>
    <w:rsid w:val="00D169E7"/>
    <w:rsid w:val="00D1715B"/>
    <w:rsid w:val="00D173D7"/>
    <w:rsid w:val="00D178BE"/>
    <w:rsid w:val="00D17F9D"/>
    <w:rsid w:val="00D20046"/>
    <w:rsid w:val="00D201A0"/>
    <w:rsid w:val="00D202FE"/>
    <w:rsid w:val="00D203C7"/>
    <w:rsid w:val="00D2075F"/>
    <w:rsid w:val="00D20B54"/>
    <w:rsid w:val="00D20D43"/>
    <w:rsid w:val="00D20D8B"/>
    <w:rsid w:val="00D21468"/>
    <w:rsid w:val="00D2179A"/>
    <w:rsid w:val="00D21A51"/>
    <w:rsid w:val="00D2207A"/>
    <w:rsid w:val="00D221AA"/>
    <w:rsid w:val="00D222B8"/>
    <w:rsid w:val="00D222DE"/>
    <w:rsid w:val="00D225A8"/>
    <w:rsid w:val="00D22791"/>
    <w:rsid w:val="00D22CE4"/>
    <w:rsid w:val="00D22CEC"/>
    <w:rsid w:val="00D22CFA"/>
    <w:rsid w:val="00D22F83"/>
    <w:rsid w:val="00D22F9A"/>
    <w:rsid w:val="00D2318B"/>
    <w:rsid w:val="00D2323E"/>
    <w:rsid w:val="00D234A4"/>
    <w:rsid w:val="00D236CE"/>
    <w:rsid w:val="00D23944"/>
    <w:rsid w:val="00D2394B"/>
    <w:rsid w:val="00D23A9D"/>
    <w:rsid w:val="00D23E93"/>
    <w:rsid w:val="00D24104"/>
    <w:rsid w:val="00D24196"/>
    <w:rsid w:val="00D24361"/>
    <w:rsid w:val="00D247B9"/>
    <w:rsid w:val="00D248EF"/>
    <w:rsid w:val="00D24D0F"/>
    <w:rsid w:val="00D25141"/>
    <w:rsid w:val="00D25188"/>
    <w:rsid w:val="00D253E3"/>
    <w:rsid w:val="00D2549B"/>
    <w:rsid w:val="00D25963"/>
    <w:rsid w:val="00D25A50"/>
    <w:rsid w:val="00D25AB8"/>
    <w:rsid w:val="00D25B39"/>
    <w:rsid w:val="00D25B3E"/>
    <w:rsid w:val="00D2626F"/>
    <w:rsid w:val="00D2646E"/>
    <w:rsid w:val="00D26560"/>
    <w:rsid w:val="00D26781"/>
    <w:rsid w:val="00D26AA6"/>
    <w:rsid w:val="00D26B67"/>
    <w:rsid w:val="00D26D92"/>
    <w:rsid w:val="00D273AE"/>
    <w:rsid w:val="00D27711"/>
    <w:rsid w:val="00D2772F"/>
    <w:rsid w:val="00D277C1"/>
    <w:rsid w:val="00D27AB6"/>
    <w:rsid w:val="00D27CDF"/>
    <w:rsid w:val="00D27E05"/>
    <w:rsid w:val="00D30389"/>
    <w:rsid w:val="00D30D11"/>
    <w:rsid w:val="00D30F83"/>
    <w:rsid w:val="00D318DC"/>
    <w:rsid w:val="00D31FF6"/>
    <w:rsid w:val="00D329EB"/>
    <w:rsid w:val="00D32A62"/>
    <w:rsid w:val="00D32A86"/>
    <w:rsid w:val="00D32BF0"/>
    <w:rsid w:val="00D32CB0"/>
    <w:rsid w:val="00D33296"/>
    <w:rsid w:val="00D3331A"/>
    <w:rsid w:val="00D333D0"/>
    <w:rsid w:val="00D336ED"/>
    <w:rsid w:val="00D33A10"/>
    <w:rsid w:val="00D33C33"/>
    <w:rsid w:val="00D33D77"/>
    <w:rsid w:val="00D343B7"/>
    <w:rsid w:val="00D34768"/>
    <w:rsid w:val="00D35333"/>
    <w:rsid w:val="00D3561C"/>
    <w:rsid w:val="00D359BA"/>
    <w:rsid w:val="00D35A39"/>
    <w:rsid w:val="00D35D35"/>
    <w:rsid w:val="00D3610E"/>
    <w:rsid w:val="00D36AC7"/>
    <w:rsid w:val="00D36C53"/>
    <w:rsid w:val="00D3779B"/>
    <w:rsid w:val="00D379F8"/>
    <w:rsid w:val="00D379FA"/>
    <w:rsid w:val="00D4021E"/>
    <w:rsid w:val="00D40294"/>
    <w:rsid w:val="00D40375"/>
    <w:rsid w:val="00D40593"/>
    <w:rsid w:val="00D406D4"/>
    <w:rsid w:val="00D407EA"/>
    <w:rsid w:val="00D40851"/>
    <w:rsid w:val="00D40A3E"/>
    <w:rsid w:val="00D40BFA"/>
    <w:rsid w:val="00D4122A"/>
    <w:rsid w:val="00D417A6"/>
    <w:rsid w:val="00D418D9"/>
    <w:rsid w:val="00D41CAC"/>
    <w:rsid w:val="00D41D75"/>
    <w:rsid w:val="00D42009"/>
    <w:rsid w:val="00D42334"/>
    <w:rsid w:val="00D42569"/>
    <w:rsid w:val="00D4259C"/>
    <w:rsid w:val="00D42C04"/>
    <w:rsid w:val="00D42EB6"/>
    <w:rsid w:val="00D4318C"/>
    <w:rsid w:val="00D43500"/>
    <w:rsid w:val="00D43506"/>
    <w:rsid w:val="00D43A35"/>
    <w:rsid w:val="00D43D7A"/>
    <w:rsid w:val="00D43F7C"/>
    <w:rsid w:val="00D43FF5"/>
    <w:rsid w:val="00D44270"/>
    <w:rsid w:val="00D44578"/>
    <w:rsid w:val="00D44770"/>
    <w:rsid w:val="00D44984"/>
    <w:rsid w:val="00D44CC1"/>
    <w:rsid w:val="00D44D00"/>
    <w:rsid w:val="00D44D82"/>
    <w:rsid w:val="00D44F4A"/>
    <w:rsid w:val="00D44FD9"/>
    <w:rsid w:val="00D45569"/>
    <w:rsid w:val="00D457D5"/>
    <w:rsid w:val="00D459A0"/>
    <w:rsid w:val="00D45D4D"/>
    <w:rsid w:val="00D46949"/>
    <w:rsid w:val="00D46EC8"/>
    <w:rsid w:val="00D47421"/>
    <w:rsid w:val="00D47608"/>
    <w:rsid w:val="00D47EC7"/>
    <w:rsid w:val="00D47F8B"/>
    <w:rsid w:val="00D506F5"/>
    <w:rsid w:val="00D50BDE"/>
    <w:rsid w:val="00D51078"/>
    <w:rsid w:val="00D51369"/>
    <w:rsid w:val="00D518C0"/>
    <w:rsid w:val="00D51C65"/>
    <w:rsid w:val="00D51D54"/>
    <w:rsid w:val="00D51E87"/>
    <w:rsid w:val="00D51EE8"/>
    <w:rsid w:val="00D51FF4"/>
    <w:rsid w:val="00D52109"/>
    <w:rsid w:val="00D52222"/>
    <w:rsid w:val="00D5257C"/>
    <w:rsid w:val="00D5289B"/>
    <w:rsid w:val="00D52A9B"/>
    <w:rsid w:val="00D52DAE"/>
    <w:rsid w:val="00D53384"/>
    <w:rsid w:val="00D53525"/>
    <w:rsid w:val="00D53707"/>
    <w:rsid w:val="00D538C4"/>
    <w:rsid w:val="00D539DE"/>
    <w:rsid w:val="00D54057"/>
    <w:rsid w:val="00D541B2"/>
    <w:rsid w:val="00D5431B"/>
    <w:rsid w:val="00D54BB7"/>
    <w:rsid w:val="00D54F8D"/>
    <w:rsid w:val="00D550BF"/>
    <w:rsid w:val="00D55407"/>
    <w:rsid w:val="00D5540F"/>
    <w:rsid w:val="00D564A2"/>
    <w:rsid w:val="00D56568"/>
    <w:rsid w:val="00D5693F"/>
    <w:rsid w:val="00D569E1"/>
    <w:rsid w:val="00D57314"/>
    <w:rsid w:val="00D573D7"/>
    <w:rsid w:val="00D57603"/>
    <w:rsid w:val="00D57688"/>
    <w:rsid w:val="00D576D1"/>
    <w:rsid w:val="00D57DD0"/>
    <w:rsid w:val="00D60440"/>
    <w:rsid w:val="00D606B7"/>
    <w:rsid w:val="00D6086E"/>
    <w:rsid w:val="00D612FD"/>
    <w:rsid w:val="00D6157C"/>
    <w:rsid w:val="00D61BF3"/>
    <w:rsid w:val="00D61CA6"/>
    <w:rsid w:val="00D61EA2"/>
    <w:rsid w:val="00D62058"/>
    <w:rsid w:val="00D621B5"/>
    <w:rsid w:val="00D62211"/>
    <w:rsid w:val="00D62DDD"/>
    <w:rsid w:val="00D632B7"/>
    <w:rsid w:val="00D6334C"/>
    <w:rsid w:val="00D634E9"/>
    <w:rsid w:val="00D635DE"/>
    <w:rsid w:val="00D638DE"/>
    <w:rsid w:val="00D63A2D"/>
    <w:rsid w:val="00D63CC0"/>
    <w:rsid w:val="00D640C1"/>
    <w:rsid w:val="00D643B8"/>
    <w:rsid w:val="00D64523"/>
    <w:rsid w:val="00D646B8"/>
    <w:rsid w:val="00D64BE6"/>
    <w:rsid w:val="00D652EF"/>
    <w:rsid w:val="00D6536D"/>
    <w:rsid w:val="00D6542A"/>
    <w:rsid w:val="00D65539"/>
    <w:rsid w:val="00D655EC"/>
    <w:rsid w:val="00D65691"/>
    <w:rsid w:val="00D65696"/>
    <w:rsid w:val="00D658F7"/>
    <w:rsid w:val="00D65C01"/>
    <w:rsid w:val="00D66498"/>
    <w:rsid w:val="00D66500"/>
    <w:rsid w:val="00D667D4"/>
    <w:rsid w:val="00D6686E"/>
    <w:rsid w:val="00D66CCC"/>
    <w:rsid w:val="00D672C5"/>
    <w:rsid w:val="00D6742C"/>
    <w:rsid w:val="00D676ED"/>
    <w:rsid w:val="00D678F7"/>
    <w:rsid w:val="00D678FC"/>
    <w:rsid w:val="00D67C78"/>
    <w:rsid w:val="00D67F6F"/>
    <w:rsid w:val="00D700C8"/>
    <w:rsid w:val="00D70499"/>
    <w:rsid w:val="00D70E17"/>
    <w:rsid w:val="00D70FFE"/>
    <w:rsid w:val="00D71133"/>
    <w:rsid w:val="00D71605"/>
    <w:rsid w:val="00D71918"/>
    <w:rsid w:val="00D71A62"/>
    <w:rsid w:val="00D71B4B"/>
    <w:rsid w:val="00D71C06"/>
    <w:rsid w:val="00D71C6F"/>
    <w:rsid w:val="00D71DD7"/>
    <w:rsid w:val="00D72C99"/>
    <w:rsid w:val="00D72CAC"/>
    <w:rsid w:val="00D72D51"/>
    <w:rsid w:val="00D73129"/>
    <w:rsid w:val="00D735FE"/>
    <w:rsid w:val="00D737FF"/>
    <w:rsid w:val="00D7396A"/>
    <w:rsid w:val="00D73C28"/>
    <w:rsid w:val="00D73F51"/>
    <w:rsid w:val="00D74095"/>
    <w:rsid w:val="00D74231"/>
    <w:rsid w:val="00D74770"/>
    <w:rsid w:val="00D74842"/>
    <w:rsid w:val="00D749A9"/>
    <w:rsid w:val="00D75157"/>
    <w:rsid w:val="00D752D7"/>
    <w:rsid w:val="00D753DE"/>
    <w:rsid w:val="00D7573A"/>
    <w:rsid w:val="00D75867"/>
    <w:rsid w:val="00D75B0F"/>
    <w:rsid w:val="00D76119"/>
    <w:rsid w:val="00D76A11"/>
    <w:rsid w:val="00D76BBE"/>
    <w:rsid w:val="00D76C27"/>
    <w:rsid w:val="00D7706F"/>
    <w:rsid w:val="00D773DB"/>
    <w:rsid w:val="00D774CF"/>
    <w:rsid w:val="00D77E46"/>
    <w:rsid w:val="00D80180"/>
    <w:rsid w:val="00D803C0"/>
    <w:rsid w:val="00D80A65"/>
    <w:rsid w:val="00D80AA8"/>
    <w:rsid w:val="00D80EDA"/>
    <w:rsid w:val="00D81863"/>
    <w:rsid w:val="00D81A36"/>
    <w:rsid w:val="00D81F93"/>
    <w:rsid w:val="00D82197"/>
    <w:rsid w:val="00D8243E"/>
    <w:rsid w:val="00D82450"/>
    <w:rsid w:val="00D8267E"/>
    <w:rsid w:val="00D82E62"/>
    <w:rsid w:val="00D82F15"/>
    <w:rsid w:val="00D83201"/>
    <w:rsid w:val="00D83837"/>
    <w:rsid w:val="00D83FD8"/>
    <w:rsid w:val="00D843BC"/>
    <w:rsid w:val="00D85130"/>
    <w:rsid w:val="00D85257"/>
    <w:rsid w:val="00D853F7"/>
    <w:rsid w:val="00D8550C"/>
    <w:rsid w:val="00D8582D"/>
    <w:rsid w:val="00D85894"/>
    <w:rsid w:val="00D85904"/>
    <w:rsid w:val="00D8591E"/>
    <w:rsid w:val="00D85926"/>
    <w:rsid w:val="00D85B6A"/>
    <w:rsid w:val="00D85D67"/>
    <w:rsid w:val="00D85D73"/>
    <w:rsid w:val="00D85F2B"/>
    <w:rsid w:val="00D860CA"/>
    <w:rsid w:val="00D861CB"/>
    <w:rsid w:val="00D8626F"/>
    <w:rsid w:val="00D863C9"/>
    <w:rsid w:val="00D86F8B"/>
    <w:rsid w:val="00D87067"/>
    <w:rsid w:val="00D870C7"/>
    <w:rsid w:val="00D87660"/>
    <w:rsid w:val="00D87ABC"/>
    <w:rsid w:val="00D87EEA"/>
    <w:rsid w:val="00D90A74"/>
    <w:rsid w:val="00D90DBB"/>
    <w:rsid w:val="00D91197"/>
    <w:rsid w:val="00D913F9"/>
    <w:rsid w:val="00D9151F"/>
    <w:rsid w:val="00D9185A"/>
    <w:rsid w:val="00D91A48"/>
    <w:rsid w:val="00D925AF"/>
    <w:rsid w:val="00D9262E"/>
    <w:rsid w:val="00D9295A"/>
    <w:rsid w:val="00D92BC3"/>
    <w:rsid w:val="00D92D93"/>
    <w:rsid w:val="00D92EDA"/>
    <w:rsid w:val="00D92FEB"/>
    <w:rsid w:val="00D9314D"/>
    <w:rsid w:val="00D93222"/>
    <w:rsid w:val="00D93313"/>
    <w:rsid w:val="00D939D5"/>
    <w:rsid w:val="00D93B5C"/>
    <w:rsid w:val="00D93C24"/>
    <w:rsid w:val="00D93FB3"/>
    <w:rsid w:val="00D9417A"/>
    <w:rsid w:val="00D94304"/>
    <w:rsid w:val="00D94776"/>
    <w:rsid w:val="00D94C8D"/>
    <w:rsid w:val="00D94DE8"/>
    <w:rsid w:val="00D94F5F"/>
    <w:rsid w:val="00D95451"/>
    <w:rsid w:val="00D95741"/>
    <w:rsid w:val="00D95CA6"/>
    <w:rsid w:val="00D960C5"/>
    <w:rsid w:val="00D963B4"/>
    <w:rsid w:val="00D965B4"/>
    <w:rsid w:val="00D9677E"/>
    <w:rsid w:val="00D96D88"/>
    <w:rsid w:val="00D96F6E"/>
    <w:rsid w:val="00D976EC"/>
    <w:rsid w:val="00D97ABE"/>
    <w:rsid w:val="00D97E69"/>
    <w:rsid w:val="00D97E9D"/>
    <w:rsid w:val="00DA013F"/>
    <w:rsid w:val="00DA0762"/>
    <w:rsid w:val="00DA0998"/>
    <w:rsid w:val="00DA0B70"/>
    <w:rsid w:val="00DA0DF6"/>
    <w:rsid w:val="00DA0FC8"/>
    <w:rsid w:val="00DA152A"/>
    <w:rsid w:val="00DA1EBD"/>
    <w:rsid w:val="00DA2205"/>
    <w:rsid w:val="00DA23AE"/>
    <w:rsid w:val="00DA265E"/>
    <w:rsid w:val="00DA2866"/>
    <w:rsid w:val="00DA2CCF"/>
    <w:rsid w:val="00DA2E41"/>
    <w:rsid w:val="00DA2EF7"/>
    <w:rsid w:val="00DA33B6"/>
    <w:rsid w:val="00DA3689"/>
    <w:rsid w:val="00DA3E36"/>
    <w:rsid w:val="00DA3E86"/>
    <w:rsid w:val="00DA428B"/>
    <w:rsid w:val="00DA4E21"/>
    <w:rsid w:val="00DA50C9"/>
    <w:rsid w:val="00DA511C"/>
    <w:rsid w:val="00DA54D6"/>
    <w:rsid w:val="00DA5704"/>
    <w:rsid w:val="00DA58CB"/>
    <w:rsid w:val="00DA655F"/>
    <w:rsid w:val="00DA6622"/>
    <w:rsid w:val="00DA66E9"/>
    <w:rsid w:val="00DA6C01"/>
    <w:rsid w:val="00DA6F8A"/>
    <w:rsid w:val="00DA705D"/>
    <w:rsid w:val="00DA77EF"/>
    <w:rsid w:val="00DA7855"/>
    <w:rsid w:val="00DA78DC"/>
    <w:rsid w:val="00DA7C74"/>
    <w:rsid w:val="00DA7CBA"/>
    <w:rsid w:val="00DA7D50"/>
    <w:rsid w:val="00DB0837"/>
    <w:rsid w:val="00DB0A28"/>
    <w:rsid w:val="00DB0ED4"/>
    <w:rsid w:val="00DB0F6D"/>
    <w:rsid w:val="00DB0F9D"/>
    <w:rsid w:val="00DB1154"/>
    <w:rsid w:val="00DB1B9F"/>
    <w:rsid w:val="00DB1C77"/>
    <w:rsid w:val="00DB229D"/>
    <w:rsid w:val="00DB236F"/>
    <w:rsid w:val="00DB2573"/>
    <w:rsid w:val="00DB2637"/>
    <w:rsid w:val="00DB271E"/>
    <w:rsid w:val="00DB273C"/>
    <w:rsid w:val="00DB29B6"/>
    <w:rsid w:val="00DB2FA2"/>
    <w:rsid w:val="00DB3199"/>
    <w:rsid w:val="00DB32FD"/>
    <w:rsid w:val="00DB341C"/>
    <w:rsid w:val="00DB344F"/>
    <w:rsid w:val="00DB3776"/>
    <w:rsid w:val="00DB3A13"/>
    <w:rsid w:val="00DB3B36"/>
    <w:rsid w:val="00DB3C65"/>
    <w:rsid w:val="00DB3F34"/>
    <w:rsid w:val="00DB3FC9"/>
    <w:rsid w:val="00DB41E6"/>
    <w:rsid w:val="00DB46DE"/>
    <w:rsid w:val="00DB480F"/>
    <w:rsid w:val="00DB4B7D"/>
    <w:rsid w:val="00DB55FC"/>
    <w:rsid w:val="00DB56A3"/>
    <w:rsid w:val="00DB5E52"/>
    <w:rsid w:val="00DB5FCB"/>
    <w:rsid w:val="00DB6BD9"/>
    <w:rsid w:val="00DB72AB"/>
    <w:rsid w:val="00DB745E"/>
    <w:rsid w:val="00DB7AFB"/>
    <w:rsid w:val="00DC00B4"/>
    <w:rsid w:val="00DC00B9"/>
    <w:rsid w:val="00DC044D"/>
    <w:rsid w:val="00DC0964"/>
    <w:rsid w:val="00DC0D4F"/>
    <w:rsid w:val="00DC0E7B"/>
    <w:rsid w:val="00DC18AA"/>
    <w:rsid w:val="00DC1AC3"/>
    <w:rsid w:val="00DC1B33"/>
    <w:rsid w:val="00DC1F34"/>
    <w:rsid w:val="00DC2288"/>
    <w:rsid w:val="00DC2731"/>
    <w:rsid w:val="00DC2B08"/>
    <w:rsid w:val="00DC2E7E"/>
    <w:rsid w:val="00DC2EE2"/>
    <w:rsid w:val="00DC3238"/>
    <w:rsid w:val="00DC3558"/>
    <w:rsid w:val="00DC3F42"/>
    <w:rsid w:val="00DC418A"/>
    <w:rsid w:val="00DC4447"/>
    <w:rsid w:val="00DC4DF7"/>
    <w:rsid w:val="00DC4E39"/>
    <w:rsid w:val="00DC53A4"/>
    <w:rsid w:val="00DC5528"/>
    <w:rsid w:val="00DC55F4"/>
    <w:rsid w:val="00DC56D8"/>
    <w:rsid w:val="00DC5BC8"/>
    <w:rsid w:val="00DC5D98"/>
    <w:rsid w:val="00DC627F"/>
    <w:rsid w:val="00DC63D6"/>
    <w:rsid w:val="00DC68EE"/>
    <w:rsid w:val="00DC6DAB"/>
    <w:rsid w:val="00DC6FBF"/>
    <w:rsid w:val="00DC6FFB"/>
    <w:rsid w:val="00DC7057"/>
    <w:rsid w:val="00DD011F"/>
    <w:rsid w:val="00DD098C"/>
    <w:rsid w:val="00DD0A04"/>
    <w:rsid w:val="00DD0D4E"/>
    <w:rsid w:val="00DD0DCE"/>
    <w:rsid w:val="00DD0FA6"/>
    <w:rsid w:val="00DD1297"/>
    <w:rsid w:val="00DD1382"/>
    <w:rsid w:val="00DD1677"/>
    <w:rsid w:val="00DD1B0B"/>
    <w:rsid w:val="00DD1C15"/>
    <w:rsid w:val="00DD1C5B"/>
    <w:rsid w:val="00DD1C79"/>
    <w:rsid w:val="00DD20B2"/>
    <w:rsid w:val="00DD2584"/>
    <w:rsid w:val="00DD29B5"/>
    <w:rsid w:val="00DD2A88"/>
    <w:rsid w:val="00DD2AEA"/>
    <w:rsid w:val="00DD2E6F"/>
    <w:rsid w:val="00DD3068"/>
    <w:rsid w:val="00DD34B5"/>
    <w:rsid w:val="00DD3517"/>
    <w:rsid w:val="00DD3789"/>
    <w:rsid w:val="00DD37B2"/>
    <w:rsid w:val="00DD38EE"/>
    <w:rsid w:val="00DD3F05"/>
    <w:rsid w:val="00DD4451"/>
    <w:rsid w:val="00DD44BC"/>
    <w:rsid w:val="00DD44F0"/>
    <w:rsid w:val="00DD45D8"/>
    <w:rsid w:val="00DD4AB1"/>
    <w:rsid w:val="00DD4CDC"/>
    <w:rsid w:val="00DD4E39"/>
    <w:rsid w:val="00DD4ED2"/>
    <w:rsid w:val="00DD4F32"/>
    <w:rsid w:val="00DD5152"/>
    <w:rsid w:val="00DD57A0"/>
    <w:rsid w:val="00DD5E62"/>
    <w:rsid w:val="00DD5FDA"/>
    <w:rsid w:val="00DD65C1"/>
    <w:rsid w:val="00DD66ED"/>
    <w:rsid w:val="00DD67F0"/>
    <w:rsid w:val="00DD7715"/>
    <w:rsid w:val="00DD7953"/>
    <w:rsid w:val="00DD7BA0"/>
    <w:rsid w:val="00DD7BB7"/>
    <w:rsid w:val="00DD7F89"/>
    <w:rsid w:val="00DE004F"/>
    <w:rsid w:val="00DE0167"/>
    <w:rsid w:val="00DE0188"/>
    <w:rsid w:val="00DE0232"/>
    <w:rsid w:val="00DE05B7"/>
    <w:rsid w:val="00DE134D"/>
    <w:rsid w:val="00DE14C0"/>
    <w:rsid w:val="00DE2054"/>
    <w:rsid w:val="00DE20F8"/>
    <w:rsid w:val="00DE258D"/>
    <w:rsid w:val="00DE272D"/>
    <w:rsid w:val="00DE27F5"/>
    <w:rsid w:val="00DE2EF4"/>
    <w:rsid w:val="00DE2FE7"/>
    <w:rsid w:val="00DE31CB"/>
    <w:rsid w:val="00DE331C"/>
    <w:rsid w:val="00DE3815"/>
    <w:rsid w:val="00DE3B4A"/>
    <w:rsid w:val="00DE4515"/>
    <w:rsid w:val="00DE4D03"/>
    <w:rsid w:val="00DE5188"/>
    <w:rsid w:val="00DE51FD"/>
    <w:rsid w:val="00DE53F9"/>
    <w:rsid w:val="00DE5B81"/>
    <w:rsid w:val="00DE60B6"/>
    <w:rsid w:val="00DE60D8"/>
    <w:rsid w:val="00DE6349"/>
    <w:rsid w:val="00DE655D"/>
    <w:rsid w:val="00DE669C"/>
    <w:rsid w:val="00DE6A61"/>
    <w:rsid w:val="00DE6CA3"/>
    <w:rsid w:val="00DE6DF2"/>
    <w:rsid w:val="00DE6EDE"/>
    <w:rsid w:val="00DE7193"/>
    <w:rsid w:val="00DE7603"/>
    <w:rsid w:val="00DE78C9"/>
    <w:rsid w:val="00DE7C72"/>
    <w:rsid w:val="00DF0252"/>
    <w:rsid w:val="00DF0525"/>
    <w:rsid w:val="00DF053B"/>
    <w:rsid w:val="00DF0B55"/>
    <w:rsid w:val="00DF0DFB"/>
    <w:rsid w:val="00DF10C8"/>
    <w:rsid w:val="00DF1133"/>
    <w:rsid w:val="00DF1348"/>
    <w:rsid w:val="00DF1F16"/>
    <w:rsid w:val="00DF20A1"/>
    <w:rsid w:val="00DF25A3"/>
    <w:rsid w:val="00DF2F5E"/>
    <w:rsid w:val="00DF37BA"/>
    <w:rsid w:val="00DF39D5"/>
    <w:rsid w:val="00DF3E70"/>
    <w:rsid w:val="00DF4042"/>
    <w:rsid w:val="00DF439F"/>
    <w:rsid w:val="00DF4638"/>
    <w:rsid w:val="00DF467F"/>
    <w:rsid w:val="00DF4768"/>
    <w:rsid w:val="00DF4918"/>
    <w:rsid w:val="00DF4D3C"/>
    <w:rsid w:val="00DF51B8"/>
    <w:rsid w:val="00DF524F"/>
    <w:rsid w:val="00DF5708"/>
    <w:rsid w:val="00DF57E3"/>
    <w:rsid w:val="00DF58FC"/>
    <w:rsid w:val="00DF5B70"/>
    <w:rsid w:val="00DF5C55"/>
    <w:rsid w:val="00DF5F95"/>
    <w:rsid w:val="00DF5FEA"/>
    <w:rsid w:val="00DF6336"/>
    <w:rsid w:val="00DF66A5"/>
    <w:rsid w:val="00DF6A9B"/>
    <w:rsid w:val="00DF6FE1"/>
    <w:rsid w:val="00DF727F"/>
    <w:rsid w:val="00DF7289"/>
    <w:rsid w:val="00DF743C"/>
    <w:rsid w:val="00DF75FD"/>
    <w:rsid w:val="00DF77C1"/>
    <w:rsid w:val="00DF78A4"/>
    <w:rsid w:val="00DF7A0F"/>
    <w:rsid w:val="00DF7BD6"/>
    <w:rsid w:val="00E000AC"/>
    <w:rsid w:val="00E0031D"/>
    <w:rsid w:val="00E007E4"/>
    <w:rsid w:val="00E00A2F"/>
    <w:rsid w:val="00E00F91"/>
    <w:rsid w:val="00E00FF5"/>
    <w:rsid w:val="00E01209"/>
    <w:rsid w:val="00E0175F"/>
    <w:rsid w:val="00E018DA"/>
    <w:rsid w:val="00E019C2"/>
    <w:rsid w:val="00E01CA9"/>
    <w:rsid w:val="00E01D2E"/>
    <w:rsid w:val="00E01E56"/>
    <w:rsid w:val="00E01E8A"/>
    <w:rsid w:val="00E0228A"/>
    <w:rsid w:val="00E02368"/>
    <w:rsid w:val="00E02A06"/>
    <w:rsid w:val="00E02DC4"/>
    <w:rsid w:val="00E02EBA"/>
    <w:rsid w:val="00E03021"/>
    <w:rsid w:val="00E034AB"/>
    <w:rsid w:val="00E03996"/>
    <w:rsid w:val="00E03A5D"/>
    <w:rsid w:val="00E03AC7"/>
    <w:rsid w:val="00E03D44"/>
    <w:rsid w:val="00E03EB0"/>
    <w:rsid w:val="00E040B1"/>
    <w:rsid w:val="00E04524"/>
    <w:rsid w:val="00E0464C"/>
    <w:rsid w:val="00E04809"/>
    <w:rsid w:val="00E048DC"/>
    <w:rsid w:val="00E0498B"/>
    <w:rsid w:val="00E050B8"/>
    <w:rsid w:val="00E055CE"/>
    <w:rsid w:val="00E05974"/>
    <w:rsid w:val="00E05A09"/>
    <w:rsid w:val="00E05A0B"/>
    <w:rsid w:val="00E05B32"/>
    <w:rsid w:val="00E05B37"/>
    <w:rsid w:val="00E05DC9"/>
    <w:rsid w:val="00E06406"/>
    <w:rsid w:val="00E0678C"/>
    <w:rsid w:val="00E067F6"/>
    <w:rsid w:val="00E06CEF"/>
    <w:rsid w:val="00E06E31"/>
    <w:rsid w:val="00E07417"/>
    <w:rsid w:val="00E07A1B"/>
    <w:rsid w:val="00E07A1E"/>
    <w:rsid w:val="00E07CAA"/>
    <w:rsid w:val="00E100CD"/>
    <w:rsid w:val="00E1031A"/>
    <w:rsid w:val="00E10996"/>
    <w:rsid w:val="00E10EA5"/>
    <w:rsid w:val="00E11482"/>
    <w:rsid w:val="00E115D8"/>
    <w:rsid w:val="00E11EFF"/>
    <w:rsid w:val="00E122DB"/>
    <w:rsid w:val="00E123AF"/>
    <w:rsid w:val="00E130AE"/>
    <w:rsid w:val="00E131FA"/>
    <w:rsid w:val="00E135CF"/>
    <w:rsid w:val="00E13C35"/>
    <w:rsid w:val="00E13D11"/>
    <w:rsid w:val="00E141BF"/>
    <w:rsid w:val="00E14252"/>
    <w:rsid w:val="00E14A03"/>
    <w:rsid w:val="00E15295"/>
    <w:rsid w:val="00E1532E"/>
    <w:rsid w:val="00E1614A"/>
    <w:rsid w:val="00E16369"/>
    <w:rsid w:val="00E16527"/>
    <w:rsid w:val="00E16A6C"/>
    <w:rsid w:val="00E16BDA"/>
    <w:rsid w:val="00E16F95"/>
    <w:rsid w:val="00E17C30"/>
    <w:rsid w:val="00E17C96"/>
    <w:rsid w:val="00E20013"/>
    <w:rsid w:val="00E200F3"/>
    <w:rsid w:val="00E201B4"/>
    <w:rsid w:val="00E20900"/>
    <w:rsid w:val="00E20BED"/>
    <w:rsid w:val="00E210B7"/>
    <w:rsid w:val="00E216EB"/>
    <w:rsid w:val="00E21C3C"/>
    <w:rsid w:val="00E2239A"/>
    <w:rsid w:val="00E2267C"/>
    <w:rsid w:val="00E23150"/>
    <w:rsid w:val="00E2315A"/>
    <w:rsid w:val="00E23430"/>
    <w:rsid w:val="00E23546"/>
    <w:rsid w:val="00E238BF"/>
    <w:rsid w:val="00E24443"/>
    <w:rsid w:val="00E2460A"/>
    <w:rsid w:val="00E24641"/>
    <w:rsid w:val="00E24D3C"/>
    <w:rsid w:val="00E24D90"/>
    <w:rsid w:val="00E24E67"/>
    <w:rsid w:val="00E25641"/>
    <w:rsid w:val="00E2596C"/>
    <w:rsid w:val="00E26BAB"/>
    <w:rsid w:val="00E26C0E"/>
    <w:rsid w:val="00E26DEB"/>
    <w:rsid w:val="00E26DFB"/>
    <w:rsid w:val="00E26EBC"/>
    <w:rsid w:val="00E27011"/>
    <w:rsid w:val="00E27473"/>
    <w:rsid w:val="00E27F59"/>
    <w:rsid w:val="00E30794"/>
    <w:rsid w:val="00E30855"/>
    <w:rsid w:val="00E308D3"/>
    <w:rsid w:val="00E30C6A"/>
    <w:rsid w:val="00E30E72"/>
    <w:rsid w:val="00E310A0"/>
    <w:rsid w:val="00E31158"/>
    <w:rsid w:val="00E313A6"/>
    <w:rsid w:val="00E31C4F"/>
    <w:rsid w:val="00E320CA"/>
    <w:rsid w:val="00E3230C"/>
    <w:rsid w:val="00E323A1"/>
    <w:rsid w:val="00E33225"/>
    <w:rsid w:val="00E33313"/>
    <w:rsid w:val="00E33590"/>
    <w:rsid w:val="00E33F2F"/>
    <w:rsid w:val="00E33FCA"/>
    <w:rsid w:val="00E3416B"/>
    <w:rsid w:val="00E3427A"/>
    <w:rsid w:val="00E347BA"/>
    <w:rsid w:val="00E34EEC"/>
    <w:rsid w:val="00E350A6"/>
    <w:rsid w:val="00E350E2"/>
    <w:rsid w:val="00E355C5"/>
    <w:rsid w:val="00E359F0"/>
    <w:rsid w:val="00E3632F"/>
    <w:rsid w:val="00E36416"/>
    <w:rsid w:val="00E364B8"/>
    <w:rsid w:val="00E364EF"/>
    <w:rsid w:val="00E3665D"/>
    <w:rsid w:val="00E367DA"/>
    <w:rsid w:val="00E36A8E"/>
    <w:rsid w:val="00E36E39"/>
    <w:rsid w:val="00E37034"/>
    <w:rsid w:val="00E37C77"/>
    <w:rsid w:val="00E37CCB"/>
    <w:rsid w:val="00E40204"/>
    <w:rsid w:val="00E4049A"/>
    <w:rsid w:val="00E40934"/>
    <w:rsid w:val="00E40B27"/>
    <w:rsid w:val="00E40E99"/>
    <w:rsid w:val="00E41083"/>
    <w:rsid w:val="00E410F4"/>
    <w:rsid w:val="00E41689"/>
    <w:rsid w:val="00E41CB9"/>
    <w:rsid w:val="00E41DFE"/>
    <w:rsid w:val="00E41E16"/>
    <w:rsid w:val="00E41E32"/>
    <w:rsid w:val="00E41E60"/>
    <w:rsid w:val="00E42403"/>
    <w:rsid w:val="00E426EC"/>
    <w:rsid w:val="00E427CE"/>
    <w:rsid w:val="00E42BAB"/>
    <w:rsid w:val="00E4351F"/>
    <w:rsid w:val="00E4362F"/>
    <w:rsid w:val="00E438C9"/>
    <w:rsid w:val="00E438CB"/>
    <w:rsid w:val="00E43C10"/>
    <w:rsid w:val="00E441CD"/>
    <w:rsid w:val="00E442A8"/>
    <w:rsid w:val="00E44637"/>
    <w:rsid w:val="00E44682"/>
    <w:rsid w:val="00E44C50"/>
    <w:rsid w:val="00E4522B"/>
    <w:rsid w:val="00E45732"/>
    <w:rsid w:val="00E458FF"/>
    <w:rsid w:val="00E46081"/>
    <w:rsid w:val="00E46AC3"/>
    <w:rsid w:val="00E46F3E"/>
    <w:rsid w:val="00E47082"/>
    <w:rsid w:val="00E4724E"/>
    <w:rsid w:val="00E47291"/>
    <w:rsid w:val="00E47497"/>
    <w:rsid w:val="00E47A5B"/>
    <w:rsid w:val="00E47AF4"/>
    <w:rsid w:val="00E47C00"/>
    <w:rsid w:val="00E47E16"/>
    <w:rsid w:val="00E47FEE"/>
    <w:rsid w:val="00E501B4"/>
    <w:rsid w:val="00E5043F"/>
    <w:rsid w:val="00E506C3"/>
    <w:rsid w:val="00E50747"/>
    <w:rsid w:val="00E5077C"/>
    <w:rsid w:val="00E50990"/>
    <w:rsid w:val="00E50AF4"/>
    <w:rsid w:val="00E50B44"/>
    <w:rsid w:val="00E50D29"/>
    <w:rsid w:val="00E51726"/>
    <w:rsid w:val="00E517A2"/>
    <w:rsid w:val="00E51968"/>
    <w:rsid w:val="00E51BE7"/>
    <w:rsid w:val="00E51F8A"/>
    <w:rsid w:val="00E52745"/>
    <w:rsid w:val="00E529AE"/>
    <w:rsid w:val="00E52A13"/>
    <w:rsid w:val="00E52A43"/>
    <w:rsid w:val="00E52B2A"/>
    <w:rsid w:val="00E52D14"/>
    <w:rsid w:val="00E52D1D"/>
    <w:rsid w:val="00E52E14"/>
    <w:rsid w:val="00E535D7"/>
    <w:rsid w:val="00E53700"/>
    <w:rsid w:val="00E539CC"/>
    <w:rsid w:val="00E53BB5"/>
    <w:rsid w:val="00E54035"/>
    <w:rsid w:val="00E541C8"/>
    <w:rsid w:val="00E54841"/>
    <w:rsid w:val="00E54B52"/>
    <w:rsid w:val="00E54F93"/>
    <w:rsid w:val="00E554B0"/>
    <w:rsid w:val="00E55839"/>
    <w:rsid w:val="00E559A2"/>
    <w:rsid w:val="00E563DD"/>
    <w:rsid w:val="00E5644A"/>
    <w:rsid w:val="00E564C7"/>
    <w:rsid w:val="00E56ABC"/>
    <w:rsid w:val="00E57860"/>
    <w:rsid w:val="00E5787F"/>
    <w:rsid w:val="00E57CA7"/>
    <w:rsid w:val="00E57CDA"/>
    <w:rsid w:val="00E60022"/>
    <w:rsid w:val="00E60751"/>
    <w:rsid w:val="00E607A4"/>
    <w:rsid w:val="00E60B79"/>
    <w:rsid w:val="00E60F2C"/>
    <w:rsid w:val="00E60F38"/>
    <w:rsid w:val="00E614C8"/>
    <w:rsid w:val="00E61BCF"/>
    <w:rsid w:val="00E6215A"/>
    <w:rsid w:val="00E62FD8"/>
    <w:rsid w:val="00E630FB"/>
    <w:rsid w:val="00E63338"/>
    <w:rsid w:val="00E6338A"/>
    <w:rsid w:val="00E633A2"/>
    <w:rsid w:val="00E63524"/>
    <w:rsid w:val="00E63723"/>
    <w:rsid w:val="00E638E3"/>
    <w:rsid w:val="00E63947"/>
    <w:rsid w:val="00E63A6D"/>
    <w:rsid w:val="00E63BA2"/>
    <w:rsid w:val="00E63CDF"/>
    <w:rsid w:val="00E63D0D"/>
    <w:rsid w:val="00E6426F"/>
    <w:rsid w:val="00E642F9"/>
    <w:rsid w:val="00E64312"/>
    <w:rsid w:val="00E646F3"/>
    <w:rsid w:val="00E648E2"/>
    <w:rsid w:val="00E64940"/>
    <w:rsid w:val="00E64ADE"/>
    <w:rsid w:val="00E64DDF"/>
    <w:rsid w:val="00E64FB7"/>
    <w:rsid w:val="00E6522E"/>
    <w:rsid w:val="00E652AC"/>
    <w:rsid w:val="00E6601C"/>
    <w:rsid w:val="00E660DA"/>
    <w:rsid w:val="00E661E5"/>
    <w:rsid w:val="00E66C90"/>
    <w:rsid w:val="00E67284"/>
    <w:rsid w:val="00E672AE"/>
    <w:rsid w:val="00E67462"/>
    <w:rsid w:val="00E678DD"/>
    <w:rsid w:val="00E67B70"/>
    <w:rsid w:val="00E67D79"/>
    <w:rsid w:val="00E7008E"/>
    <w:rsid w:val="00E700DB"/>
    <w:rsid w:val="00E70209"/>
    <w:rsid w:val="00E70219"/>
    <w:rsid w:val="00E705DE"/>
    <w:rsid w:val="00E7088C"/>
    <w:rsid w:val="00E70B2A"/>
    <w:rsid w:val="00E70C6C"/>
    <w:rsid w:val="00E70F09"/>
    <w:rsid w:val="00E716E0"/>
    <w:rsid w:val="00E72207"/>
    <w:rsid w:val="00E722F5"/>
    <w:rsid w:val="00E72366"/>
    <w:rsid w:val="00E72D6C"/>
    <w:rsid w:val="00E7313C"/>
    <w:rsid w:val="00E73B5E"/>
    <w:rsid w:val="00E73BAE"/>
    <w:rsid w:val="00E73BEE"/>
    <w:rsid w:val="00E73EE9"/>
    <w:rsid w:val="00E750E3"/>
    <w:rsid w:val="00E75658"/>
    <w:rsid w:val="00E7565C"/>
    <w:rsid w:val="00E757A0"/>
    <w:rsid w:val="00E75A81"/>
    <w:rsid w:val="00E75B17"/>
    <w:rsid w:val="00E75B8F"/>
    <w:rsid w:val="00E75F6D"/>
    <w:rsid w:val="00E76364"/>
    <w:rsid w:val="00E76B3C"/>
    <w:rsid w:val="00E76EAC"/>
    <w:rsid w:val="00E77742"/>
    <w:rsid w:val="00E77948"/>
    <w:rsid w:val="00E77F07"/>
    <w:rsid w:val="00E801CE"/>
    <w:rsid w:val="00E8027D"/>
    <w:rsid w:val="00E80412"/>
    <w:rsid w:val="00E80741"/>
    <w:rsid w:val="00E80E0A"/>
    <w:rsid w:val="00E80ED2"/>
    <w:rsid w:val="00E81438"/>
    <w:rsid w:val="00E818B1"/>
    <w:rsid w:val="00E82060"/>
    <w:rsid w:val="00E82260"/>
    <w:rsid w:val="00E824D2"/>
    <w:rsid w:val="00E82565"/>
    <w:rsid w:val="00E82847"/>
    <w:rsid w:val="00E82F2A"/>
    <w:rsid w:val="00E8328C"/>
    <w:rsid w:val="00E83A28"/>
    <w:rsid w:val="00E83C53"/>
    <w:rsid w:val="00E83CFC"/>
    <w:rsid w:val="00E83E7B"/>
    <w:rsid w:val="00E83F5F"/>
    <w:rsid w:val="00E841CC"/>
    <w:rsid w:val="00E843DF"/>
    <w:rsid w:val="00E848AA"/>
    <w:rsid w:val="00E84DC5"/>
    <w:rsid w:val="00E84F17"/>
    <w:rsid w:val="00E855B2"/>
    <w:rsid w:val="00E85A72"/>
    <w:rsid w:val="00E85B83"/>
    <w:rsid w:val="00E85D61"/>
    <w:rsid w:val="00E85ECD"/>
    <w:rsid w:val="00E860FE"/>
    <w:rsid w:val="00E8664A"/>
    <w:rsid w:val="00E869CA"/>
    <w:rsid w:val="00E87233"/>
    <w:rsid w:val="00E87488"/>
    <w:rsid w:val="00E87ADC"/>
    <w:rsid w:val="00E87AF6"/>
    <w:rsid w:val="00E87D46"/>
    <w:rsid w:val="00E90076"/>
    <w:rsid w:val="00E90573"/>
    <w:rsid w:val="00E90582"/>
    <w:rsid w:val="00E90751"/>
    <w:rsid w:val="00E907E0"/>
    <w:rsid w:val="00E90BEE"/>
    <w:rsid w:val="00E91056"/>
    <w:rsid w:val="00E910AA"/>
    <w:rsid w:val="00E91890"/>
    <w:rsid w:val="00E91A9A"/>
    <w:rsid w:val="00E920A2"/>
    <w:rsid w:val="00E921F5"/>
    <w:rsid w:val="00E925B8"/>
    <w:rsid w:val="00E92709"/>
    <w:rsid w:val="00E92A46"/>
    <w:rsid w:val="00E92ACA"/>
    <w:rsid w:val="00E92B0C"/>
    <w:rsid w:val="00E931F2"/>
    <w:rsid w:val="00E93C68"/>
    <w:rsid w:val="00E93D1E"/>
    <w:rsid w:val="00E943DE"/>
    <w:rsid w:val="00E94453"/>
    <w:rsid w:val="00E94495"/>
    <w:rsid w:val="00E9449A"/>
    <w:rsid w:val="00E9450B"/>
    <w:rsid w:val="00E94973"/>
    <w:rsid w:val="00E94978"/>
    <w:rsid w:val="00E94B35"/>
    <w:rsid w:val="00E94DB8"/>
    <w:rsid w:val="00E94E15"/>
    <w:rsid w:val="00E95028"/>
    <w:rsid w:val="00E955BB"/>
    <w:rsid w:val="00E955D0"/>
    <w:rsid w:val="00E956DF"/>
    <w:rsid w:val="00E95D03"/>
    <w:rsid w:val="00E95DA3"/>
    <w:rsid w:val="00E9655C"/>
    <w:rsid w:val="00E96DDB"/>
    <w:rsid w:val="00E975C7"/>
    <w:rsid w:val="00E978A6"/>
    <w:rsid w:val="00E97ABB"/>
    <w:rsid w:val="00E97EE9"/>
    <w:rsid w:val="00EA053F"/>
    <w:rsid w:val="00EA0577"/>
    <w:rsid w:val="00EA05A1"/>
    <w:rsid w:val="00EA0D21"/>
    <w:rsid w:val="00EA1557"/>
    <w:rsid w:val="00EA183A"/>
    <w:rsid w:val="00EA19E5"/>
    <w:rsid w:val="00EA1BFC"/>
    <w:rsid w:val="00EA1C8A"/>
    <w:rsid w:val="00EA1F73"/>
    <w:rsid w:val="00EA1FB5"/>
    <w:rsid w:val="00EA21E0"/>
    <w:rsid w:val="00EA2344"/>
    <w:rsid w:val="00EA24F2"/>
    <w:rsid w:val="00EA2569"/>
    <w:rsid w:val="00EA259E"/>
    <w:rsid w:val="00EA261F"/>
    <w:rsid w:val="00EA2815"/>
    <w:rsid w:val="00EA285E"/>
    <w:rsid w:val="00EA28BC"/>
    <w:rsid w:val="00EA29B4"/>
    <w:rsid w:val="00EA2A76"/>
    <w:rsid w:val="00EA390C"/>
    <w:rsid w:val="00EA3A46"/>
    <w:rsid w:val="00EA3EC6"/>
    <w:rsid w:val="00EA445D"/>
    <w:rsid w:val="00EA463A"/>
    <w:rsid w:val="00EA48E5"/>
    <w:rsid w:val="00EA5622"/>
    <w:rsid w:val="00EA573C"/>
    <w:rsid w:val="00EA5DAB"/>
    <w:rsid w:val="00EA605E"/>
    <w:rsid w:val="00EA63C7"/>
    <w:rsid w:val="00EA6EA6"/>
    <w:rsid w:val="00EA6EF5"/>
    <w:rsid w:val="00EA7296"/>
    <w:rsid w:val="00EA7574"/>
    <w:rsid w:val="00EA758D"/>
    <w:rsid w:val="00EA76F0"/>
    <w:rsid w:val="00EB0417"/>
    <w:rsid w:val="00EB0697"/>
    <w:rsid w:val="00EB0C35"/>
    <w:rsid w:val="00EB0EDE"/>
    <w:rsid w:val="00EB104A"/>
    <w:rsid w:val="00EB126D"/>
    <w:rsid w:val="00EB18F9"/>
    <w:rsid w:val="00EB1BC7"/>
    <w:rsid w:val="00EB1CAD"/>
    <w:rsid w:val="00EB1DF6"/>
    <w:rsid w:val="00EB1F1C"/>
    <w:rsid w:val="00EB2A50"/>
    <w:rsid w:val="00EB2DC8"/>
    <w:rsid w:val="00EB3057"/>
    <w:rsid w:val="00EB3091"/>
    <w:rsid w:val="00EB3246"/>
    <w:rsid w:val="00EB3757"/>
    <w:rsid w:val="00EB3D43"/>
    <w:rsid w:val="00EB3F11"/>
    <w:rsid w:val="00EB40C7"/>
    <w:rsid w:val="00EB4701"/>
    <w:rsid w:val="00EB4A23"/>
    <w:rsid w:val="00EB4B26"/>
    <w:rsid w:val="00EB4F82"/>
    <w:rsid w:val="00EB50C5"/>
    <w:rsid w:val="00EB55BD"/>
    <w:rsid w:val="00EB5D6F"/>
    <w:rsid w:val="00EB6408"/>
    <w:rsid w:val="00EB68E0"/>
    <w:rsid w:val="00EB6A67"/>
    <w:rsid w:val="00EB6F5C"/>
    <w:rsid w:val="00EB7500"/>
    <w:rsid w:val="00EC0110"/>
    <w:rsid w:val="00EC03F0"/>
    <w:rsid w:val="00EC083E"/>
    <w:rsid w:val="00EC0976"/>
    <w:rsid w:val="00EC0A83"/>
    <w:rsid w:val="00EC1556"/>
    <w:rsid w:val="00EC15DA"/>
    <w:rsid w:val="00EC2372"/>
    <w:rsid w:val="00EC2420"/>
    <w:rsid w:val="00EC2750"/>
    <w:rsid w:val="00EC2B57"/>
    <w:rsid w:val="00EC2C10"/>
    <w:rsid w:val="00EC2E4D"/>
    <w:rsid w:val="00EC2EEB"/>
    <w:rsid w:val="00EC370C"/>
    <w:rsid w:val="00EC3C56"/>
    <w:rsid w:val="00EC3CF6"/>
    <w:rsid w:val="00EC3D02"/>
    <w:rsid w:val="00EC4513"/>
    <w:rsid w:val="00EC459F"/>
    <w:rsid w:val="00EC48D3"/>
    <w:rsid w:val="00EC4904"/>
    <w:rsid w:val="00EC491F"/>
    <w:rsid w:val="00EC57BB"/>
    <w:rsid w:val="00EC5BEA"/>
    <w:rsid w:val="00EC5C3D"/>
    <w:rsid w:val="00EC5DE1"/>
    <w:rsid w:val="00EC5FA8"/>
    <w:rsid w:val="00EC642A"/>
    <w:rsid w:val="00EC657E"/>
    <w:rsid w:val="00EC6581"/>
    <w:rsid w:val="00EC668E"/>
    <w:rsid w:val="00EC6BBB"/>
    <w:rsid w:val="00EC6C2C"/>
    <w:rsid w:val="00EC6D13"/>
    <w:rsid w:val="00EC6D77"/>
    <w:rsid w:val="00EC6E04"/>
    <w:rsid w:val="00EC72F4"/>
    <w:rsid w:val="00ED0012"/>
    <w:rsid w:val="00ED0420"/>
    <w:rsid w:val="00ED04D4"/>
    <w:rsid w:val="00ED057B"/>
    <w:rsid w:val="00ED05C3"/>
    <w:rsid w:val="00ED082B"/>
    <w:rsid w:val="00ED0A66"/>
    <w:rsid w:val="00ED0CE0"/>
    <w:rsid w:val="00ED0D67"/>
    <w:rsid w:val="00ED0D92"/>
    <w:rsid w:val="00ED1181"/>
    <w:rsid w:val="00ED1BDC"/>
    <w:rsid w:val="00ED262E"/>
    <w:rsid w:val="00ED26F0"/>
    <w:rsid w:val="00ED2A70"/>
    <w:rsid w:val="00ED2D2C"/>
    <w:rsid w:val="00ED2E5C"/>
    <w:rsid w:val="00ED2F90"/>
    <w:rsid w:val="00ED3101"/>
    <w:rsid w:val="00ED32D6"/>
    <w:rsid w:val="00ED369F"/>
    <w:rsid w:val="00ED3DC0"/>
    <w:rsid w:val="00ED409E"/>
    <w:rsid w:val="00ED49B0"/>
    <w:rsid w:val="00ED4A46"/>
    <w:rsid w:val="00ED4A7F"/>
    <w:rsid w:val="00ED4CD5"/>
    <w:rsid w:val="00ED4DDD"/>
    <w:rsid w:val="00ED4F31"/>
    <w:rsid w:val="00ED4F3B"/>
    <w:rsid w:val="00ED5041"/>
    <w:rsid w:val="00ED50A1"/>
    <w:rsid w:val="00ED5B0B"/>
    <w:rsid w:val="00ED61BB"/>
    <w:rsid w:val="00ED66A4"/>
    <w:rsid w:val="00ED69C4"/>
    <w:rsid w:val="00ED721C"/>
    <w:rsid w:val="00ED73A0"/>
    <w:rsid w:val="00ED73CA"/>
    <w:rsid w:val="00ED7959"/>
    <w:rsid w:val="00EE072C"/>
    <w:rsid w:val="00EE07A7"/>
    <w:rsid w:val="00EE092F"/>
    <w:rsid w:val="00EE14EE"/>
    <w:rsid w:val="00EE15C4"/>
    <w:rsid w:val="00EE186F"/>
    <w:rsid w:val="00EE1B5A"/>
    <w:rsid w:val="00EE206B"/>
    <w:rsid w:val="00EE2337"/>
    <w:rsid w:val="00EE269C"/>
    <w:rsid w:val="00EE272B"/>
    <w:rsid w:val="00EE2F3A"/>
    <w:rsid w:val="00EE38D7"/>
    <w:rsid w:val="00EE403B"/>
    <w:rsid w:val="00EE4201"/>
    <w:rsid w:val="00EE53EA"/>
    <w:rsid w:val="00EE54F8"/>
    <w:rsid w:val="00EE5538"/>
    <w:rsid w:val="00EE5599"/>
    <w:rsid w:val="00EE57AF"/>
    <w:rsid w:val="00EE5BB8"/>
    <w:rsid w:val="00EE5DB3"/>
    <w:rsid w:val="00EE62F9"/>
    <w:rsid w:val="00EE6554"/>
    <w:rsid w:val="00EE66D9"/>
    <w:rsid w:val="00EE6A9F"/>
    <w:rsid w:val="00EE6E49"/>
    <w:rsid w:val="00EE7095"/>
    <w:rsid w:val="00EE7522"/>
    <w:rsid w:val="00EE76E2"/>
    <w:rsid w:val="00EE7C4D"/>
    <w:rsid w:val="00EF0737"/>
    <w:rsid w:val="00EF0C4B"/>
    <w:rsid w:val="00EF0E4A"/>
    <w:rsid w:val="00EF0E7E"/>
    <w:rsid w:val="00EF12E9"/>
    <w:rsid w:val="00EF16C4"/>
    <w:rsid w:val="00EF183B"/>
    <w:rsid w:val="00EF1AB8"/>
    <w:rsid w:val="00EF1B35"/>
    <w:rsid w:val="00EF24D1"/>
    <w:rsid w:val="00EF2703"/>
    <w:rsid w:val="00EF2831"/>
    <w:rsid w:val="00EF2918"/>
    <w:rsid w:val="00EF34D8"/>
    <w:rsid w:val="00EF3CC6"/>
    <w:rsid w:val="00EF4292"/>
    <w:rsid w:val="00EF4603"/>
    <w:rsid w:val="00EF4891"/>
    <w:rsid w:val="00EF4987"/>
    <w:rsid w:val="00EF4C20"/>
    <w:rsid w:val="00EF55A7"/>
    <w:rsid w:val="00EF58AA"/>
    <w:rsid w:val="00EF59D5"/>
    <w:rsid w:val="00EF5C51"/>
    <w:rsid w:val="00EF6333"/>
    <w:rsid w:val="00EF64BA"/>
    <w:rsid w:val="00EF6DDF"/>
    <w:rsid w:val="00EF713C"/>
    <w:rsid w:val="00EF7BEB"/>
    <w:rsid w:val="00EF7CD7"/>
    <w:rsid w:val="00F000D8"/>
    <w:rsid w:val="00F001CD"/>
    <w:rsid w:val="00F00B95"/>
    <w:rsid w:val="00F00EF3"/>
    <w:rsid w:val="00F021D8"/>
    <w:rsid w:val="00F021E6"/>
    <w:rsid w:val="00F0238F"/>
    <w:rsid w:val="00F0261E"/>
    <w:rsid w:val="00F02760"/>
    <w:rsid w:val="00F02DAC"/>
    <w:rsid w:val="00F031CA"/>
    <w:rsid w:val="00F04528"/>
    <w:rsid w:val="00F0486B"/>
    <w:rsid w:val="00F049FD"/>
    <w:rsid w:val="00F04CAF"/>
    <w:rsid w:val="00F050C5"/>
    <w:rsid w:val="00F0546F"/>
    <w:rsid w:val="00F05554"/>
    <w:rsid w:val="00F05839"/>
    <w:rsid w:val="00F059AC"/>
    <w:rsid w:val="00F05CFB"/>
    <w:rsid w:val="00F065F4"/>
    <w:rsid w:val="00F068C4"/>
    <w:rsid w:val="00F06BB0"/>
    <w:rsid w:val="00F07043"/>
    <w:rsid w:val="00F0728B"/>
    <w:rsid w:val="00F07497"/>
    <w:rsid w:val="00F07650"/>
    <w:rsid w:val="00F07D75"/>
    <w:rsid w:val="00F07F85"/>
    <w:rsid w:val="00F10095"/>
    <w:rsid w:val="00F1022D"/>
    <w:rsid w:val="00F10392"/>
    <w:rsid w:val="00F106CA"/>
    <w:rsid w:val="00F1078C"/>
    <w:rsid w:val="00F109EE"/>
    <w:rsid w:val="00F10F1F"/>
    <w:rsid w:val="00F1114B"/>
    <w:rsid w:val="00F112EB"/>
    <w:rsid w:val="00F11486"/>
    <w:rsid w:val="00F11C6A"/>
    <w:rsid w:val="00F11DC7"/>
    <w:rsid w:val="00F125D5"/>
    <w:rsid w:val="00F127AF"/>
    <w:rsid w:val="00F12D83"/>
    <w:rsid w:val="00F12E3C"/>
    <w:rsid w:val="00F12FA6"/>
    <w:rsid w:val="00F13115"/>
    <w:rsid w:val="00F13216"/>
    <w:rsid w:val="00F136FA"/>
    <w:rsid w:val="00F13717"/>
    <w:rsid w:val="00F1386B"/>
    <w:rsid w:val="00F13D35"/>
    <w:rsid w:val="00F13D47"/>
    <w:rsid w:val="00F1400E"/>
    <w:rsid w:val="00F140C8"/>
    <w:rsid w:val="00F1418E"/>
    <w:rsid w:val="00F141D8"/>
    <w:rsid w:val="00F145A7"/>
    <w:rsid w:val="00F14905"/>
    <w:rsid w:val="00F14BFF"/>
    <w:rsid w:val="00F14C68"/>
    <w:rsid w:val="00F14F1E"/>
    <w:rsid w:val="00F15430"/>
    <w:rsid w:val="00F15610"/>
    <w:rsid w:val="00F15683"/>
    <w:rsid w:val="00F15932"/>
    <w:rsid w:val="00F15987"/>
    <w:rsid w:val="00F164A8"/>
    <w:rsid w:val="00F173CC"/>
    <w:rsid w:val="00F174D2"/>
    <w:rsid w:val="00F17589"/>
    <w:rsid w:val="00F17B1C"/>
    <w:rsid w:val="00F17BA0"/>
    <w:rsid w:val="00F20294"/>
    <w:rsid w:val="00F202F1"/>
    <w:rsid w:val="00F20301"/>
    <w:rsid w:val="00F203B6"/>
    <w:rsid w:val="00F20919"/>
    <w:rsid w:val="00F20DA2"/>
    <w:rsid w:val="00F210A8"/>
    <w:rsid w:val="00F21B24"/>
    <w:rsid w:val="00F21B4E"/>
    <w:rsid w:val="00F21FA8"/>
    <w:rsid w:val="00F224B5"/>
    <w:rsid w:val="00F22A4B"/>
    <w:rsid w:val="00F22F44"/>
    <w:rsid w:val="00F22FF4"/>
    <w:rsid w:val="00F234A9"/>
    <w:rsid w:val="00F23910"/>
    <w:rsid w:val="00F2396D"/>
    <w:rsid w:val="00F239BD"/>
    <w:rsid w:val="00F23E0E"/>
    <w:rsid w:val="00F243FF"/>
    <w:rsid w:val="00F244B9"/>
    <w:rsid w:val="00F24783"/>
    <w:rsid w:val="00F24790"/>
    <w:rsid w:val="00F24821"/>
    <w:rsid w:val="00F24839"/>
    <w:rsid w:val="00F24A05"/>
    <w:rsid w:val="00F24AA4"/>
    <w:rsid w:val="00F24B84"/>
    <w:rsid w:val="00F25452"/>
    <w:rsid w:val="00F25482"/>
    <w:rsid w:val="00F257D2"/>
    <w:rsid w:val="00F25976"/>
    <w:rsid w:val="00F25981"/>
    <w:rsid w:val="00F25B0D"/>
    <w:rsid w:val="00F26E98"/>
    <w:rsid w:val="00F26ED3"/>
    <w:rsid w:val="00F2732F"/>
    <w:rsid w:val="00F274B9"/>
    <w:rsid w:val="00F274E7"/>
    <w:rsid w:val="00F30192"/>
    <w:rsid w:val="00F301EF"/>
    <w:rsid w:val="00F30209"/>
    <w:rsid w:val="00F305B4"/>
    <w:rsid w:val="00F30752"/>
    <w:rsid w:val="00F30760"/>
    <w:rsid w:val="00F30862"/>
    <w:rsid w:val="00F31409"/>
    <w:rsid w:val="00F3150C"/>
    <w:rsid w:val="00F3183C"/>
    <w:rsid w:val="00F320F9"/>
    <w:rsid w:val="00F327DA"/>
    <w:rsid w:val="00F32D6E"/>
    <w:rsid w:val="00F32E86"/>
    <w:rsid w:val="00F32E95"/>
    <w:rsid w:val="00F330AD"/>
    <w:rsid w:val="00F334CF"/>
    <w:rsid w:val="00F33DAE"/>
    <w:rsid w:val="00F3413F"/>
    <w:rsid w:val="00F34368"/>
    <w:rsid w:val="00F3457A"/>
    <w:rsid w:val="00F3499F"/>
    <w:rsid w:val="00F34F79"/>
    <w:rsid w:val="00F35260"/>
    <w:rsid w:val="00F35C04"/>
    <w:rsid w:val="00F35C9F"/>
    <w:rsid w:val="00F364BD"/>
    <w:rsid w:val="00F366C9"/>
    <w:rsid w:val="00F36A8C"/>
    <w:rsid w:val="00F370A1"/>
    <w:rsid w:val="00F372BC"/>
    <w:rsid w:val="00F376BB"/>
    <w:rsid w:val="00F37787"/>
    <w:rsid w:val="00F37A9F"/>
    <w:rsid w:val="00F37D90"/>
    <w:rsid w:val="00F40036"/>
    <w:rsid w:val="00F402D4"/>
    <w:rsid w:val="00F40F5B"/>
    <w:rsid w:val="00F413D6"/>
    <w:rsid w:val="00F41534"/>
    <w:rsid w:val="00F418C0"/>
    <w:rsid w:val="00F41A2C"/>
    <w:rsid w:val="00F41A45"/>
    <w:rsid w:val="00F41C7F"/>
    <w:rsid w:val="00F41CD2"/>
    <w:rsid w:val="00F41E8D"/>
    <w:rsid w:val="00F42052"/>
    <w:rsid w:val="00F4216B"/>
    <w:rsid w:val="00F4299D"/>
    <w:rsid w:val="00F42C12"/>
    <w:rsid w:val="00F42D31"/>
    <w:rsid w:val="00F42E0F"/>
    <w:rsid w:val="00F43B16"/>
    <w:rsid w:val="00F43B9C"/>
    <w:rsid w:val="00F43BF4"/>
    <w:rsid w:val="00F446B6"/>
    <w:rsid w:val="00F44D07"/>
    <w:rsid w:val="00F44D0D"/>
    <w:rsid w:val="00F44F5F"/>
    <w:rsid w:val="00F455A6"/>
    <w:rsid w:val="00F4570C"/>
    <w:rsid w:val="00F45906"/>
    <w:rsid w:val="00F45A39"/>
    <w:rsid w:val="00F45B3A"/>
    <w:rsid w:val="00F45C93"/>
    <w:rsid w:val="00F46140"/>
    <w:rsid w:val="00F46870"/>
    <w:rsid w:val="00F46C77"/>
    <w:rsid w:val="00F46F9C"/>
    <w:rsid w:val="00F47444"/>
    <w:rsid w:val="00F477FA"/>
    <w:rsid w:val="00F47A6E"/>
    <w:rsid w:val="00F47BCF"/>
    <w:rsid w:val="00F47E64"/>
    <w:rsid w:val="00F500EA"/>
    <w:rsid w:val="00F50309"/>
    <w:rsid w:val="00F5093D"/>
    <w:rsid w:val="00F50A02"/>
    <w:rsid w:val="00F50F16"/>
    <w:rsid w:val="00F515EE"/>
    <w:rsid w:val="00F5167F"/>
    <w:rsid w:val="00F51853"/>
    <w:rsid w:val="00F51D63"/>
    <w:rsid w:val="00F525B1"/>
    <w:rsid w:val="00F52615"/>
    <w:rsid w:val="00F527F1"/>
    <w:rsid w:val="00F52F68"/>
    <w:rsid w:val="00F53107"/>
    <w:rsid w:val="00F53388"/>
    <w:rsid w:val="00F5382F"/>
    <w:rsid w:val="00F53B25"/>
    <w:rsid w:val="00F53BFD"/>
    <w:rsid w:val="00F54065"/>
    <w:rsid w:val="00F540B5"/>
    <w:rsid w:val="00F546A3"/>
    <w:rsid w:val="00F549A0"/>
    <w:rsid w:val="00F54A91"/>
    <w:rsid w:val="00F54C13"/>
    <w:rsid w:val="00F55208"/>
    <w:rsid w:val="00F55326"/>
    <w:rsid w:val="00F5544A"/>
    <w:rsid w:val="00F5555A"/>
    <w:rsid w:val="00F55B27"/>
    <w:rsid w:val="00F55C37"/>
    <w:rsid w:val="00F55F04"/>
    <w:rsid w:val="00F561E1"/>
    <w:rsid w:val="00F56338"/>
    <w:rsid w:val="00F564F2"/>
    <w:rsid w:val="00F57246"/>
    <w:rsid w:val="00F579CE"/>
    <w:rsid w:val="00F57C05"/>
    <w:rsid w:val="00F57CC2"/>
    <w:rsid w:val="00F6037E"/>
    <w:rsid w:val="00F60A42"/>
    <w:rsid w:val="00F60CF7"/>
    <w:rsid w:val="00F61688"/>
    <w:rsid w:val="00F61697"/>
    <w:rsid w:val="00F6175F"/>
    <w:rsid w:val="00F617BA"/>
    <w:rsid w:val="00F618F9"/>
    <w:rsid w:val="00F61B9F"/>
    <w:rsid w:val="00F61BE2"/>
    <w:rsid w:val="00F61CBB"/>
    <w:rsid w:val="00F62A4D"/>
    <w:rsid w:val="00F62AE3"/>
    <w:rsid w:val="00F62F37"/>
    <w:rsid w:val="00F634DA"/>
    <w:rsid w:val="00F6484F"/>
    <w:rsid w:val="00F64D42"/>
    <w:rsid w:val="00F64DEA"/>
    <w:rsid w:val="00F650A2"/>
    <w:rsid w:val="00F65322"/>
    <w:rsid w:val="00F6541D"/>
    <w:rsid w:val="00F65654"/>
    <w:rsid w:val="00F65D30"/>
    <w:rsid w:val="00F65E90"/>
    <w:rsid w:val="00F661C3"/>
    <w:rsid w:val="00F66488"/>
    <w:rsid w:val="00F666BA"/>
    <w:rsid w:val="00F66AD0"/>
    <w:rsid w:val="00F66EB3"/>
    <w:rsid w:val="00F6707F"/>
    <w:rsid w:val="00F670D1"/>
    <w:rsid w:val="00F67349"/>
    <w:rsid w:val="00F676B4"/>
    <w:rsid w:val="00F7009C"/>
    <w:rsid w:val="00F7015F"/>
    <w:rsid w:val="00F70201"/>
    <w:rsid w:val="00F703EF"/>
    <w:rsid w:val="00F709C3"/>
    <w:rsid w:val="00F70BCB"/>
    <w:rsid w:val="00F70D92"/>
    <w:rsid w:val="00F710FD"/>
    <w:rsid w:val="00F711E4"/>
    <w:rsid w:val="00F71783"/>
    <w:rsid w:val="00F7185E"/>
    <w:rsid w:val="00F719D3"/>
    <w:rsid w:val="00F71A48"/>
    <w:rsid w:val="00F71CD0"/>
    <w:rsid w:val="00F721EA"/>
    <w:rsid w:val="00F724A0"/>
    <w:rsid w:val="00F72CB0"/>
    <w:rsid w:val="00F72D3B"/>
    <w:rsid w:val="00F72DFF"/>
    <w:rsid w:val="00F73279"/>
    <w:rsid w:val="00F735F9"/>
    <w:rsid w:val="00F73705"/>
    <w:rsid w:val="00F73B0E"/>
    <w:rsid w:val="00F73B55"/>
    <w:rsid w:val="00F73D98"/>
    <w:rsid w:val="00F741ED"/>
    <w:rsid w:val="00F741FD"/>
    <w:rsid w:val="00F7480C"/>
    <w:rsid w:val="00F74991"/>
    <w:rsid w:val="00F74BCE"/>
    <w:rsid w:val="00F74F5D"/>
    <w:rsid w:val="00F7548B"/>
    <w:rsid w:val="00F75A94"/>
    <w:rsid w:val="00F75E5F"/>
    <w:rsid w:val="00F763EF"/>
    <w:rsid w:val="00F7644D"/>
    <w:rsid w:val="00F76BE7"/>
    <w:rsid w:val="00F76F3B"/>
    <w:rsid w:val="00F770E3"/>
    <w:rsid w:val="00F77D8E"/>
    <w:rsid w:val="00F80210"/>
    <w:rsid w:val="00F80BC9"/>
    <w:rsid w:val="00F81128"/>
    <w:rsid w:val="00F81C2A"/>
    <w:rsid w:val="00F81EE4"/>
    <w:rsid w:val="00F81EF9"/>
    <w:rsid w:val="00F82A60"/>
    <w:rsid w:val="00F82EC6"/>
    <w:rsid w:val="00F831C6"/>
    <w:rsid w:val="00F83668"/>
    <w:rsid w:val="00F83917"/>
    <w:rsid w:val="00F84264"/>
    <w:rsid w:val="00F8439A"/>
    <w:rsid w:val="00F84474"/>
    <w:rsid w:val="00F84A49"/>
    <w:rsid w:val="00F84CB0"/>
    <w:rsid w:val="00F85215"/>
    <w:rsid w:val="00F8540D"/>
    <w:rsid w:val="00F85A98"/>
    <w:rsid w:val="00F85DBE"/>
    <w:rsid w:val="00F85F70"/>
    <w:rsid w:val="00F8608F"/>
    <w:rsid w:val="00F86117"/>
    <w:rsid w:val="00F86340"/>
    <w:rsid w:val="00F86436"/>
    <w:rsid w:val="00F86441"/>
    <w:rsid w:val="00F864DD"/>
    <w:rsid w:val="00F8675D"/>
    <w:rsid w:val="00F86769"/>
    <w:rsid w:val="00F869A3"/>
    <w:rsid w:val="00F86CB5"/>
    <w:rsid w:val="00F86D37"/>
    <w:rsid w:val="00F87092"/>
    <w:rsid w:val="00F87B7D"/>
    <w:rsid w:val="00F87D77"/>
    <w:rsid w:val="00F87FAE"/>
    <w:rsid w:val="00F901EC"/>
    <w:rsid w:val="00F906AE"/>
    <w:rsid w:val="00F90FB4"/>
    <w:rsid w:val="00F912E9"/>
    <w:rsid w:val="00F913F0"/>
    <w:rsid w:val="00F9141D"/>
    <w:rsid w:val="00F91A49"/>
    <w:rsid w:val="00F91FAA"/>
    <w:rsid w:val="00F92324"/>
    <w:rsid w:val="00F92430"/>
    <w:rsid w:val="00F9285F"/>
    <w:rsid w:val="00F92BFF"/>
    <w:rsid w:val="00F92E98"/>
    <w:rsid w:val="00F93845"/>
    <w:rsid w:val="00F93EBC"/>
    <w:rsid w:val="00F943A6"/>
    <w:rsid w:val="00F9452F"/>
    <w:rsid w:val="00F94BEE"/>
    <w:rsid w:val="00F95546"/>
    <w:rsid w:val="00F95689"/>
    <w:rsid w:val="00F95756"/>
    <w:rsid w:val="00F95B21"/>
    <w:rsid w:val="00F95BC4"/>
    <w:rsid w:val="00F96072"/>
    <w:rsid w:val="00F96222"/>
    <w:rsid w:val="00F9639D"/>
    <w:rsid w:val="00F96751"/>
    <w:rsid w:val="00F97065"/>
    <w:rsid w:val="00F97AE1"/>
    <w:rsid w:val="00F97BA5"/>
    <w:rsid w:val="00F97DBE"/>
    <w:rsid w:val="00F97F21"/>
    <w:rsid w:val="00FA00E1"/>
    <w:rsid w:val="00FA0512"/>
    <w:rsid w:val="00FA0657"/>
    <w:rsid w:val="00FA0D17"/>
    <w:rsid w:val="00FA0FD0"/>
    <w:rsid w:val="00FA1517"/>
    <w:rsid w:val="00FA1537"/>
    <w:rsid w:val="00FA158D"/>
    <w:rsid w:val="00FA1697"/>
    <w:rsid w:val="00FA1750"/>
    <w:rsid w:val="00FA2136"/>
    <w:rsid w:val="00FA2CD5"/>
    <w:rsid w:val="00FA2DDB"/>
    <w:rsid w:val="00FA2EA2"/>
    <w:rsid w:val="00FA336D"/>
    <w:rsid w:val="00FA3919"/>
    <w:rsid w:val="00FA3ADE"/>
    <w:rsid w:val="00FA3CBE"/>
    <w:rsid w:val="00FA3D71"/>
    <w:rsid w:val="00FA4345"/>
    <w:rsid w:val="00FA434B"/>
    <w:rsid w:val="00FA4663"/>
    <w:rsid w:val="00FA472F"/>
    <w:rsid w:val="00FA4791"/>
    <w:rsid w:val="00FA4C77"/>
    <w:rsid w:val="00FA4F4A"/>
    <w:rsid w:val="00FA54F6"/>
    <w:rsid w:val="00FA5850"/>
    <w:rsid w:val="00FA5C43"/>
    <w:rsid w:val="00FA6518"/>
    <w:rsid w:val="00FA683F"/>
    <w:rsid w:val="00FA694C"/>
    <w:rsid w:val="00FA69CA"/>
    <w:rsid w:val="00FA6BEE"/>
    <w:rsid w:val="00FA6C41"/>
    <w:rsid w:val="00FA738B"/>
    <w:rsid w:val="00FA79E4"/>
    <w:rsid w:val="00FA7A40"/>
    <w:rsid w:val="00FA7DBB"/>
    <w:rsid w:val="00FB0353"/>
    <w:rsid w:val="00FB0C00"/>
    <w:rsid w:val="00FB0C08"/>
    <w:rsid w:val="00FB1810"/>
    <w:rsid w:val="00FB1AA0"/>
    <w:rsid w:val="00FB235E"/>
    <w:rsid w:val="00FB2413"/>
    <w:rsid w:val="00FB25A1"/>
    <w:rsid w:val="00FB25E6"/>
    <w:rsid w:val="00FB26F8"/>
    <w:rsid w:val="00FB2B85"/>
    <w:rsid w:val="00FB3010"/>
    <w:rsid w:val="00FB3135"/>
    <w:rsid w:val="00FB33AE"/>
    <w:rsid w:val="00FB405B"/>
    <w:rsid w:val="00FB41CA"/>
    <w:rsid w:val="00FB4C04"/>
    <w:rsid w:val="00FB4EF2"/>
    <w:rsid w:val="00FB50DE"/>
    <w:rsid w:val="00FB5194"/>
    <w:rsid w:val="00FB5678"/>
    <w:rsid w:val="00FB5737"/>
    <w:rsid w:val="00FB57A9"/>
    <w:rsid w:val="00FB5AC5"/>
    <w:rsid w:val="00FB6458"/>
    <w:rsid w:val="00FB65A9"/>
    <w:rsid w:val="00FB6809"/>
    <w:rsid w:val="00FB6945"/>
    <w:rsid w:val="00FB6BFD"/>
    <w:rsid w:val="00FB6C9D"/>
    <w:rsid w:val="00FB76BB"/>
    <w:rsid w:val="00FB779A"/>
    <w:rsid w:val="00FB7932"/>
    <w:rsid w:val="00FB7AD9"/>
    <w:rsid w:val="00FB7E2E"/>
    <w:rsid w:val="00FC0005"/>
    <w:rsid w:val="00FC023C"/>
    <w:rsid w:val="00FC078B"/>
    <w:rsid w:val="00FC0891"/>
    <w:rsid w:val="00FC188B"/>
    <w:rsid w:val="00FC23A4"/>
    <w:rsid w:val="00FC2803"/>
    <w:rsid w:val="00FC2972"/>
    <w:rsid w:val="00FC306F"/>
    <w:rsid w:val="00FC37DC"/>
    <w:rsid w:val="00FC39C5"/>
    <w:rsid w:val="00FC3A4D"/>
    <w:rsid w:val="00FC3CFF"/>
    <w:rsid w:val="00FC3D6E"/>
    <w:rsid w:val="00FC3D86"/>
    <w:rsid w:val="00FC4185"/>
    <w:rsid w:val="00FC443A"/>
    <w:rsid w:val="00FC44AA"/>
    <w:rsid w:val="00FC4777"/>
    <w:rsid w:val="00FC480F"/>
    <w:rsid w:val="00FC4C4A"/>
    <w:rsid w:val="00FC4D56"/>
    <w:rsid w:val="00FC4E58"/>
    <w:rsid w:val="00FC4E95"/>
    <w:rsid w:val="00FC5227"/>
    <w:rsid w:val="00FC5535"/>
    <w:rsid w:val="00FC5882"/>
    <w:rsid w:val="00FC5BB3"/>
    <w:rsid w:val="00FC5E72"/>
    <w:rsid w:val="00FC63CA"/>
    <w:rsid w:val="00FC65DE"/>
    <w:rsid w:val="00FC6864"/>
    <w:rsid w:val="00FC6E8B"/>
    <w:rsid w:val="00FC7141"/>
    <w:rsid w:val="00FC7394"/>
    <w:rsid w:val="00FC7A97"/>
    <w:rsid w:val="00FC7E27"/>
    <w:rsid w:val="00FD00CF"/>
    <w:rsid w:val="00FD0660"/>
    <w:rsid w:val="00FD0750"/>
    <w:rsid w:val="00FD13CB"/>
    <w:rsid w:val="00FD1402"/>
    <w:rsid w:val="00FD1442"/>
    <w:rsid w:val="00FD1CFE"/>
    <w:rsid w:val="00FD1E10"/>
    <w:rsid w:val="00FD1E42"/>
    <w:rsid w:val="00FD1E85"/>
    <w:rsid w:val="00FD257C"/>
    <w:rsid w:val="00FD2776"/>
    <w:rsid w:val="00FD2C81"/>
    <w:rsid w:val="00FD330E"/>
    <w:rsid w:val="00FD35D8"/>
    <w:rsid w:val="00FD35DA"/>
    <w:rsid w:val="00FD3B05"/>
    <w:rsid w:val="00FD3BA6"/>
    <w:rsid w:val="00FD3C01"/>
    <w:rsid w:val="00FD3E27"/>
    <w:rsid w:val="00FD3E94"/>
    <w:rsid w:val="00FD4032"/>
    <w:rsid w:val="00FD4766"/>
    <w:rsid w:val="00FD4AB2"/>
    <w:rsid w:val="00FD4B06"/>
    <w:rsid w:val="00FD4E60"/>
    <w:rsid w:val="00FD4F69"/>
    <w:rsid w:val="00FD4FFA"/>
    <w:rsid w:val="00FD520A"/>
    <w:rsid w:val="00FD5D8E"/>
    <w:rsid w:val="00FD5FFD"/>
    <w:rsid w:val="00FD607B"/>
    <w:rsid w:val="00FD617D"/>
    <w:rsid w:val="00FD637F"/>
    <w:rsid w:val="00FD65A4"/>
    <w:rsid w:val="00FD6763"/>
    <w:rsid w:val="00FD699E"/>
    <w:rsid w:val="00FD6AD2"/>
    <w:rsid w:val="00FD7039"/>
    <w:rsid w:val="00FD7071"/>
    <w:rsid w:val="00FD750E"/>
    <w:rsid w:val="00FD7887"/>
    <w:rsid w:val="00FD7D24"/>
    <w:rsid w:val="00FE0F08"/>
    <w:rsid w:val="00FE116F"/>
    <w:rsid w:val="00FE120A"/>
    <w:rsid w:val="00FE18A1"/>
    <w:rsid w:val="00FE1B7E"/>
    <w:rsid w:val="00FE1FD3"/>
    <w:rsid w:val="00FE20E2"/>
    <w:rsid w:val="00FE2108"/>
    <w:rsid w:val="00FE217D"/>
    <w:rsid w:val="00FE2271"/>
    <w:rsid w:val="00FE2286"/>
    <w:rsid w:val="00FE2456"/>
    <w:rsid w:val="00FE28B1"/>
    <w:rsid w:val="00FE2A6F"/>
    <w:rsid w:val="00FE30CB"/>
    <w:rsid w:val="00FE33C6"/>
    <w:rsid w:val="00FE3490"/>
    <w:rsid w:val="00FE35AB"/>
    <w:rsid w:val="00FE36C9"/>
    <w:rsid w:val="00FE3F83"/>
    <w:rsid w:val="00FE437E"/>
    <w:rsid w:val="00FE4D8A"/>
    <w:rsid w:val="00FE5161"/>
    <w:rsid w:val="00FE5341"/>
    <w:rsid w:val="00FE5646"/>
    <w:rsid w:val="00FE57F4"/>
    <w:rsid w:val="00FE58A5"/>
    <w:rsid w:val="00FE5BF4"/>
    <w:rsid w:val="00FE6216"/>
    <w:rsid w:val="00FE6262"/>
    <w:rsid w:val="00FE6AF1"/>
    <w:rsid w:val="00FE6E78"/>
    <w:rsid w:val="00FE6FC0"/>
    <w:rsid w:val="00FE72A0"/>
    <w:rsid w:val="00FE74D8"/>
    <w:rsid w:val="00FE775F"/>
    <w:rsid w:val="00FF0585"/>
    <w:rsid w:val="00FF06D7"/>
    <w:rsid w:val="00FF1351"/>
    <w:rsid w:val="00FF135D"/>
    <w:rsid w:val="00FF1C13"/>
    <w:rsid w:val="00FF1D15"/>
    <w:rsid w:val="00FF1E01"/>
    <w:rsid w:val="00FF1E04"/>
    <w:rsid w:val="00FF222F"/>
    <w:rsid w:val="00FF28DB"/>
    <w:rsid w:val="00FF2A8E"/>
    <w:rsid w:val="00FF2BE6"/>
    <w:rsid w:val="00FF2EB4"/>
    <w:rsid w:val="00FF2EE7"/>
    <w:rsid w:val="00FF2F1A"/>
    <w:rsid w:val="00FF33BF"/>
    <w:rsid w:val="00FF3874"/>
    <w:rsid w:val="00FF39A5"/>
    <w:rsid w:val="00FF3AED"/>
    <w:rsid w:val="00FF3DAA"/>
    <w:rsid w:val="00FF42DD"/>
    <w:rsid w:val="00FF4A5A"/>
    <w:rsid w:val="00FF4D35"/>
    <w:rsid w:val="00FF4D6E"/>
    <w:rsid w:val="00FF4F05"/>
    <w:rsid w:val="00FF5183"/>
    <w:rsid w:val="00FF5380"/>
    <w:rsid w:val="00FF5607"/>
    <w:rsid w:val="00FF5769"/>
    <w:rsid w:val="00FF5A3E"/>
    <w:rsid w:val="00FF5CFE"/>
    <w:rsid w:val="00FF5D25"/>
    <w:rsid w:val="00FF6097"/>
    <w:rsid w:val="00FF6500"/>
    <w:rsid w:val="00FF6B03"/>
    <w:rsid w:val="00FF6E5F"/>
    <w:rsid w:val="00FF7320"/>
    <w:rsid w:val="00FF73D6"/>
    <w:rsid w:val="00FF768D"/>
    <w:rsid w:val="00FF7CEA"/>
    <w:rsid w:val="00FF7EAE"/>
    <w:rsid w:val="044A1D18"/>
    <w:rsid w:val="070E3E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iPriority="0" w:name="footnote text"/>
    <w:lsdException w:qFormat="1" w:unhideWhenUsed="0" w:uiPriority="99" w:semiHidden="0" w:name="annotation text"/>
    <w:lsdException w:unhideWhenUsed="0" w:uiPriority="99" w:semiHidden="0" w:name="header"/>
    <w:lsdException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nhideWhenUsed="0" w:uiPriority="0" w:semiHidden="0" w:name="page number"/>
    <w:lsdException w:qFormat="1" w:uiPriority="0" w:name="endnote reference"/>
    <w:lsdException w:qFormat="1" w:unhideWhenUsed="0" w:uiPriority="0" w:name="endnote text"/>
    <w:lsdException w:uiPriority="0" w:name="table of authorities"/>
    <w:lsdException w:uiPriority="0" w:name="macro"/>
    <w:lsdException w:qFormat="1" w:unhideWhenUsed="0"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iPriority="99" w:semiHidden="0" w:name="Body Text 2"/>
    <w:lsdException w:qFormat="1" w:unhideWhenUsed="0" w:uiPriority="99"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71"/>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link w:val="73"/>
    <w:qFormat/>
    <w:uiPriority w:val="0"/>
    <w:pPr>
      <w:keepNext/>
      <w:keepLines/>
      <w:outlineLvl w:val="1"/>
    </w:pPr>
    <w:rPr>
      <w:rFonts w:ascii="Arial" w:hAnsi="Arial"/>
      <w:b/>
      <w:bCs/>
      <w:kern w:val="0"/>
      <w:szCs w:val="32"/>
    </w:rPr>
  </w:style>
  <w:style w:type="paragraph" w:styleId="4">
    <w:name w:val="heading 3"/>
    <w:basedOn w:val="1"/>
    <w:next w:val="1"/>
    <w:link w:val="74"/>
    <w:qFormat/>
    <w:uiPriority w:val="9"/>
    <w:pPr>
      <w:keepNext/>
      <w:keepLines/>
      <w:spacing w:before="260" w:after="260" w:line="416" w:lineRule="auto"/>
      <w:outlineLvl w:val="2"/>
    </w:pPr>
    <w:rPr>
      <w:b/>
      <w:bCs/>
      <w:kern w:val="0"/>
      <w:sz w:val="32"/>
      <w:szCs w:val="32"/>
    </w:rPr>
  </w:style>
  <w:style w:type="paragraph" w:styleId="5">
    <w:name w:val="heading 4"/>
    <w:basedOn w:val="1"/>
    <w:next w:val="1"/>
    <w:link w:val="75"/>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76"/>
    <w:qFormat/>
    <w:uiPriority w:val="0"/>
    <w:pPr>
      <w:keepNext/>
      <w:keepLines/>
      <w:adjustRightInd w:val="0"/>
      <w:spacing w:before="280" w:after="290" w:line="376" w:lineRule="atLeast"/>
      <w:textAlignment w:val="baseline"/>
      <w:outlineLvl w:val="4"/>
    </w:pPr>
    <w:rPr>
      <w:b/>
      <w:kern w:val="0"/>
      <w:sz w:val="28"/>
      <w:szCs w:val="20"/>
    </w:rPr>
  </w:style>
  <w:style w:type="paragraph" w:styleId="7">
    <w:name w:val="heading 6"/>
    <w:basedOn w:val="1"/>
    <w:next w:val="1"/>
    <w:link w:val="77"/>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rPr>
  </w:style>
  <w:style w:type="paragraph" w:styleId="8">
    <w:name w:val="heading 7"/>
    <w:basedOn w:val="1"/>
    <w:next w:val="1"/>
    <w:link w:val="78"/>
    <w:qFormat/>
    <w:uiPriority w:val="0"/>
    <w:pPr>
      <w:keepNext/>
      <w:keepLines/>
      <w:widowControl/>
      <w:tabs>
        <w:tab w:val="left" w:pos="2520"/>
      </w:tabs>
      <w:spacing w:before="240" w:after="64" w:line="320" w:lineRule="auto"/>
      <w:ind w:left="1296" w:hanging="1296"/>
      <w:jc w:val="left"/>
      <w:outlineLvl w:val="6"/>
    </w:pPr>
    <w:rPr>
      <w:b/>
      <w:bCs/>
      <w:kern w:val="0"/>
    </w:rPr>
  </w:style>
  <w:style w:type="paragraph" w:styleId="9">
    <w:name w:val="heading 8"/>
    <w:basedOn w:val="1"/>
    <w:next w:val="1"/>
    <w:link w:val="7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rPr>
  </w:style>
  <w:style w:type="paragraph" w:styleId="10">
    <w:name w:val="heading 9"/>
    <w:basedOn w:val="1"/>
    <w:next w:val="1"/>
    <w:link w:val="8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62">
    <w:name w:val="Default Paragraph Font"/>
    <w:semiHidden/>
    <w:unhideWhenUsed/>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00"/>
      <w:jc w:val="left"/>
    </w:pPr>
    <w:rPr>
      <w:rFonts w:ascii="Calibri" w:hAnsi="Calibri"/>
      <w:sz w:val="20"/>
      <w:szCs w:val="20"/>
    </w:rPr>
  </w:style>
  <w:style w:type="paragraph" w:styleId="12">
    <w:name w:val="Note Heading"/>
    <w:basedOn w:val="1"/>
    <w:next w:val="1"/>
    <w:link w:val="138"/>
    <w:qFormat/>
    <w:uiPriority w:val="0"/>
    <w:pPr>
      <w:jc w:val="center"/>
    </w:pPr>
    <w:rPr>
      <w:kern w:val="0"/>
      <w:sz w:val="20"/>
    </w:rPr>
  </w:style>
  <w:style w:type="paragraph" w:styleId="13">
    <w:name w:val="index 8"/>
    <w:basedOn w:val="1"/>
    <w:next w:val="1"/>
    <w:semiHidden/>
    <w:qFormat/>
    <w:uiPriority w:val="0"/>
    <w:pPr>
      <w:ind w:left="1400" w:leftChars="1400"/>
    </w:pPr>
  </w:style>
  <w:style w:type="paragraph" w:styleId="14">
    <w:name w:val="List Number"/>
    <w:basedOn w:val="1"/>
    <w:qFormat/>
    <w:uiPriority w:val="0"/>
    <w:pPr>
      <w:tabs>
        <w:tab w:val="left" w:pos="1680"/>
      </w:tabs>
      <w:ind w:left="1680" w:hanging="420"/>
    </w:pPr>
    <w:rPr>
      <w:color w:val="000000"/>
    </w:rPr>
  </w:style>
  <w:style w:type="paragraph" w:styleId="15">
    <w:name w:val="Normal Indent"/>
    <w:basedOn w:val="1"/>
    <w:link w:val="203"/>
    <w:uiPriority w:val="0"/>
    <w:pPr>
      <w:ind w:firstLine="420" w:firstLineChars="200"/>
    </w:pPr>
    <w:rPr>
      <w:rFonts w:ascii="Calibri" w:hAnsi="Calibri"/>
      <w:sz w:val="21"/>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index 5"/>
    <w:basedOn w:val="1"/>
    <w:next w:val="1"/>
    <w:semiHidden/>
    <w:qFormat/>
    <w:uiPriority w:val="0"/>
    <w:pPr>
      <w:ind w:left="800" w:leftChars="800"/>
    </w:pPr>
  </w:style>
  <w:style w:type="paragraph" w:styleId="18">
    <w:name w:val="List Bullet"/>
    <w:basedOn w:val="1"/>
    <w:qFormat/>
    <w:uiPriority w:val="0"/>
    <w:pPr>
      <w:tabs>
        <w:tab w:val="left" w:pos="360"/>
      </w:tabs>
      <w:ind w:left="360" w:hanging="200" w:hangingChars="200"/>
    </w:pPr>
  </w:style>
  <w:style w:type="paragraph" w:styleId="19">
    <w:name w:val="Document Map"/>
    <w:basedOn w:val="1"/>
    <w:link w:val="99"/>
    <w:semiHidden/>
    <w:qFormat/>
    <w:uiPriority w:val="99"/>
    <w:pPr>
      <w:shd w:val="clear" w:color="auto" w:fill="000080"/>
    </w:pPr>
    <w:rPr>
      <w:kern w:val="0"/>
      <w:sz w:val="20"/>
    </w:rPr>
  </w:style>
  <w:style w:type="paragraph" w:styleId="20">
    <w:name w:val="toa heading"/>
    <w:basedOn w:val="1"/>
    <w:next w:val="1"/>
    <w:semiHidden/>
    <w:qFormat/>
    <w:uiPriority w:val="0"/>
    <w:pPr>
      <w:spacing w:before="120"/>
    </w:pPr>
    <w:rPr>
      <w:rFonts w:ascii="Arial" w:hAnsi="Arial" w:cs="Arial"/>
      <w:color w:val="000000"/>
    </w:rPr>
  </w:style>
  <w:style w:type="paragraph" w:styleId="21">
    <w:name w:val="annotation text"/>
    <w:basedOn w:val="1"/>
    <w:link w:val="87"/>
    <w:qFormat/>
    <w:uiPriority w:val="99"/>
    <w:pPr>
      <w:jc w:val="left"/>
    </w:pPr>
    <w:rPr>
      <w:kern w:val="0"/>
      <w:sz w:val="20"/>
    </w:rPr>
  </w:style>
  <w:style w:type="paragraph" w:styleId="22">
    <w:name w:val="index 6"/>
    <w:basedOn w:val="1"/>
    <w:next w:val="1"/>
    <w:semiHidden/>
    <w:qFormat/>
    <w:uiPriority w:val="0"/>
    <w:pPr>
      <w:ind w:left="1000" w:leftChars="1000"/>
    </w:pPr>
  </w:style>
  <w:style w:type="paragraph" w:styleId="23">
    <w:name w:val="Salutation"/>
    <w:basedOn w:val="1"/>
    <w:next w:val="1"/>
    <w:link w:val="114"/>
    <w:qFormat/>
    <w:uiPriority w:val="0"/>
    <w:rPr>
      <w:rFonts w:ascii="宋体" w:eastAsia="仿宋_GB2312"/>
      <w:kern w:val="0"/>
      <w:sz w:val="20"/>
      <w:szCs w:val="20"/>
    </w:rPr>
  </w:style>
  <w:style w:type="paragraph" w:styleId="24">
    <w:name w:val="Body Text 3"/>
    <w:basedOn w:val="1"/>
    <w:link w:val="83"/>
    <w:qFormat/>
    <w:uiPriority w:val="99"/>
    <w:rPr>
      <w:rFonts w:ascii="宋体"/>
      <w:kern w:val="0"/>
      <w:szCs w:val="20"/>
    </w:rPr>
  </w:style>
  <w:style w:type="paragraph" w:styleId="25">
    <w:name w:val="Body Text"/>
    <w:basedOn w:val="1"/>
    <w:link w:val="93"/>
    <w:qFormat/>
    <w:uiPriority w:val="99"/>
    <w:pPr>
      <w:spacing w:after="120"/>
    </w:pPr>
    <w:rPr>
      <w:kern w:val="0"/>
      <w:sz w:val="20"/>
    </w:rPr>
  </w:style>
  <w:style w:type="paragraph" w:styleId="26">
    <w:name w:val="Body Text Indent"/>
    <w:basedOn w:val="1"/>
    <w:link w:val="89"/>
    <w:qFormat/>
    <w:uiPriority w:val="0"/>
    <w:pPr>
      <w:spacing w:after="120"/>
      <w:ind w:left="420" w:leftChars="200"/>
    </w:pPr>
    <w:rPr>
      <w:kern w:val="0"/>
      <w:sz w:val="20"/>
    </w:rPr>
  </w:style>
  <w:style w:type="paragraph" w:styleId="27">
    <w:name w:val="Block Text"/>
    <w:basedOn w:val="1"/>
    <w:qFormat/>
    <w:uiPriority w:val="0"/>
    <w:pPr>
      <w:tabs>
        <w:tab w:val="left" w:pos="709"/>
        <w:tab w:val="right" w:pos="851"/>
        <w:tab w:val="right" w:pos="8504"/>
      </w:tabs>
      <w:ind w:left="710" w:right="274"/>
    </w:pPr>
    <w:rPr>
      <w:rFonts w:ascii="宋体" w:hAnsi="宋体"/>
      <w:color w:val="000000"/>
      <w:szCs w:val="20"/>
    </w:rPr>
  </w:style>
  <w:style w:type="paragraph" w:styleId="28">
    <w:name w:val="List Bullet 2"/>
    <w:basedOn w:val="18"/>
    <w:qFormat/>
    <w:uiPriority w:val="0"/>
    <w:pPr>
      <w:widowControl/>
      <w:tabs>
        <w:tab w:val="left" w:pos="1460"/>
        <w:tab w:val="clear" w:pos="360"/>
      </w:tabs>
      <w:spacing w:after="220" w:line="220" w:lineRule="atLeast"/>
      <w:ind w:left="2160" w:right="720" w:firstLine="0" w:firstLineChars="0"/>
      <w:jc w:val="left"/>
    </w:pPr>
    <w:rPr>
      <w:kern w:val="0"/>
      <w:szCs w:val="20"/>
    </w:rPr>
  </w:style>
  <w:style w:type="paragraph" w:styleId="29">
    <w:name w:val="index 4"/>
    <w:basedOn w:val="1"/>
    <w:next w:val="1"/>
    <w:semiHidden/>
    <w:qFormat/>
    <w:uiPriority w:val="0"/>
    <w:pPr>
      <w:ind w:left="600" w:leftChars="600"/>
    </w:pPr>
  </w:style>
  <w:style w:type="paragraph" w:styleId="30">
    <w:name w:val="toc 5"/>
    <w:basedOn w:val="1"/>
    <w:next w:val="1"/>
    <w:qFormat/>
    <w:uiPriority w:val="39"/>
    <w:pPr>
      <w:ind w:left="720"/>
      <w:jc w:val="left"/>
    </w:pPr>
    <w:rPr>
      <w:rFonts w:ascii="Calibri" w:hAnsi="Calibri"/>
      <w:sz w:val="20"/>
      <w:szCs w:val="20"/>
    </w:rPr>
  </w:style>
  <w:style w:type="paragraph" w:styleId="31">
    <w:name w:val="toc 3"/>
    <w:basedOn w:val="1"/>
    <w:next w:val="1"/>
    <w:qFormat/>
    <w:uiPriority w:val="39"/>
    <w:pPr>
      <w:ind w:left="240"/>
      <w:jc w:val="left"/>
    </w:pPr>
    <w:rPr>
      <w:rFonts w:ascii="Calibri" w:hAnsi="Calibri"/>
      <w:sz w:val="20"/>
      <w:szCs w:val="20"/>
    </w:rPr>
  </w:style>
  <w:style w:type="paragraph" w:styleId="32">
    <w:name w:val="Plain Text"/>
    <w:basedOn w:val="1"/>
    <w:link w:val="104"/>
    <w:qFormat/>
    <w:uiPriority w:val="0"/>
    <w:rPr>
      <w:rFonts w:ascii="宋体" w:hAnsi="Courier New"/>
      <w:kern w:val="0"/>
      <w:sz w:val="20"/>
      <w:szCs w:val="21"/>
    </w:rPr>
  </w:style>
  <w:style w:type="paragraph" w:styleId="33">
    <w:name w:val="toc 8"/>
    <w:basedOn w:val="1"/>
    <w:next w:val="1"/>
    <w:qFormat/>
    <w:uiPriority w:val="39"/>
    <w:pPr>
      <w:ind w:left="1440"/>
      <w:jc w:val="left"/>
    </w:pPr>
    <w:rPr>
      <w:rFonts w:ascii="Calibri" w:hAnsi="Calibri"/>
      <w:sz w:val="20"/>
      <w:szCs w:val="20"/>
    </w:rPr>
  </w:style>
  <w:style w:type="paragraph" w:styleId="34">
    <w:name w:val="index 3"/>
    <w:basedOn w:val="1"/>
    <w:next w:val="1"/>
    <w:semiHidden/>
    <w:qFormat/>
    <w:uiPriority w:val="0"/>
    <w:pPr>
      <w:ind w:left="400" w:leftChars="400"/>
    </w:pPr>
  </w:style>
  <w:style w:type="paragraph" w:styleId="35">
    <w:name w:val="Date"/>
    <w:basedOn w:val="1"/>
    <w:next w:val="1"/>
    <w:link w:val="95"/>
    <w:qFormat/>
    <w:uiPriority w:val="0"/>
    <w:rPr>
      <w:kern w:val="0"/>
      <w:szCs w:val="20"/>
    </w:rPr>
  </w:style>
  <w:style w:type="paragraph" w:styleId="36">
    <w:name w:val="Body Text Indent 2"/>
    <w:basedOn w:val="1"/>
    <w:link w:val="101"/>
    <w:unhideWhenUsed/>
    <w:qFormat/>
    <w:uiPriority w:val="99"/>
    <w:pPr>
      <w:spacing w:after="120" w:line="480" w:lineRule="auto"/>
      <w:ind w:left="420" w:leftChars="200"/>
    </w:pPr>
    <w:rPr>
      <w:kern w:val="0"/>
      <w:sz w:val="20"/>
    </w:rPr>
  </w:style>
  <w:style w:type="paragraph" w:styleId="37">
    <w:name w:val="endnote text"/>
    <w:basedOn w:val="1"/>
    <w:link w:val="226"/>
    <w:semiHidden/>
    <w:qFormat/>
    <w:uiPriority w:val="0"/>
    <w:pPr>
      <w:widowControl/>
      <w:tabs>
        <w:tab w:val="left" w:pos="187"/>
      </w:tabs>
      <w:spacing w:after="120" w:line="220" w:lineRule="exact"/>
      <w:ind w:left="187" w:hanging="187"/>
      <w:jc w:val="left"/>
    </w:pPr>
    <w:rPr>
      <w:rFonts w:ascii="Arial" w:hAnsi="Arial" w:eastAsia="MS Mincho"/>
      <w:kern w:val="0"/>
      <w:sz w:val="18"/>
      <w:szCs w:val="20"/>
      <w:lang w:val="en-GB" w:eastAsia="ja-JP"/>
    </w:rPr>
  </w:style>
  <w:style w:type="paragraph" w:styleId="38">
    <w:name w:val="Balloon Text"/>
    <w:basedOn w:val="1"/>
    <w:link w:val="98"/>
    <w:semiHidden/>
    <w:qFormat/>
    <w:uiPriority w:val="99"/>
    <w:rPr>
      <w:kern w:val="0"/>
      <w:sz w:val="18"/>
      <w:szCs w:val="18"/>
    </w:rPr>
  </w:style>
  <w:style w:type="paragraph" w:styleId="39">
    <w:name w:val="footer"/>
    <w:basedOn w:val="1"/>
    <w:link w:val="82"/>
    <w:uiPriority w:val="99"/>
    <w:pPr>
      <w:tabs>
        <w:tab w:val="center" w:pos="4153"/>
        <w:tab w:val="right" w:pos="8306"/>
      </w:tabs>
      <w:snapToGrid w:val="0"/>
      <w:jc w:val="left"/>
    </w:pPr>
    <w:rPr>
      <w:kern w:val="0"/>
      <w:sz w:val="18"/>
      <w:szCs w:val="18"/>
    </w:rPr>
  </w:style>
  <w:style w:type="paragraph" w:styleId="40">
    <w:name w:val="header"/>
    <w:basedOn w:val="1"/>
    <w:link w:val="81"/>
    <w:uiPriority w:val="99"/>
    <w:pPr>
      <w:pBdr>
        <w:bottom w:val="single" w:color="auto" w:sz="6" w:space="1"/>
      </w:pBdr>
      <w:tabs>
        <w:tab w:val="center" w:pos="4153"/>
        <w:tab w:val="right" w:pos="8306"/>
      </w:tabs>
      <w:snapToGrid w:val="0"/>
      <w:jc w:val="center"/>
    </w:pPr>
    <w:rPr>
      <w:kern w:val="0"/>
      <w:sz w:val="18"/>
      <w:szCs w:val="18"/>
    </w:rPr>
  </w:style>
  <w:style w:type="paragraph" w:styleId="41">
    <w:name w:val="Signature"/>
    <w:basedOn w:val="1"/>
    <w:link w:val="470"/>
    <w:qFormat/>
    <w:uiPriority w:val="0"/>
    <w:pPr>
      <w:ind w:left="100" w:leftChars="2100"/>
    </w:pPr>
  </w:style>
  <w:style w:type="paragraph" w:styleId="42">
    <w:name w:val="toc 1"/>
    <w:basedOn w:val="1"/>
    <w:next w:val="1"/>
    <w:uiPriority w:val="39"/>
    <w:pPr>
      <w:tabs>
        <w:tab w:val="right" w:leader="dot" w:pos="9060"/>
      </w:tabs>
      <w:ind w:firstLine="480"/>
      <w:jc w:val="left"/>
    </w:pPr>
    <w:rPr>
      <w:rFonts w:asciiTheme="minorEastAsia" w:hAnsiTheme="minorEastAsia" w:eastAsiaTheme="minorEastAsia"/>
      <w:b/>
      <w:bCs/>
      <w:caps/>
      <w:kern w:val="0"/>
    </w:rPr>
  </w:style>
  <w:style w:type="paragraph" w:styleId="43">
    <w:name w:val="toc 4"/>
    <w:basedOn w:val="1"/>
    <w:next w:val="1"/>
    <w:qFormat/>
    <w:uiPriority w:val="39"/>
    <w:pPr>
      <w:ind w:left="480"/>
      <w:jc w:val="left"/>
    </w:pPr>
    <w:rPr>
      <w:rFonts w:ascii="Calibri" w:hAnsi="Calibri"/>
      <w:sz w:val="20"/>
      <w:szCs w:val="20"/>
    </w:rPr>
  </w:style>
  <w:style w:type="paragraph" w:styleId="44">
    <w:name w:val="index heading"/>
    <w:basedOn w:val="1"/>
    <w:next w:val="45"/>
    <w:semiHidden/>
    <w:qFormat/>
    <w:uiPriority w:val="0"/>
  </w:style>
  <w:style w:type="paragraph" w:styleId="45">
    <w:name w:val="index 1"/>
    <w:basedOn w:val="1"/>
    <w:next w:val="1"/>
    <w:semiHidden/>
    <w:qFormat/>
    <w:uiPriority w:val="0"/>
    <w:pPr>
      <w:spacing w:line="220" w:lineRule="exact"/>
      <w:jc w:val="center"/>
    </w:pPr>
    <w:rPr>
      <w:rFonts w:ascii="仿宋_GB2312" w:eastAsia="仿宋_GB2312"/>
      <w:szCs w:val="21"/>
    </w:rPr>
  </w:style>
  <w:style w:type="paragraph" w:styleId="46">
    <w:name w:val="Subtitle"/>
    <w:basedOn w:val="1"/>
    <w:next w:val="1"/>
    <w:link w:val="435"/>
    <w:qFormat/>
    <w:uiPriority w:val="0"/>
    <w:pPr>
      <w:spacing w:before="240" w:after="60" w:line="312" w:lineRule="auto"/>
      <w:jc w:val="center"/>
      <w:outlineLvl w:val="1"/>
    </w:pPr>
    <w:rPr>
      <w:rFonts w:ascii="Cambria" w:hAnsi="Cambria"/>
      <w:b/>
      <w:bCs/>
      <w:kern w:val="28"/>
      <w:sz w:val="32"/>
      <w:szCs w:val="32"/>
    </w:rPr>
  </w:style>
  <w:style w:type="paragraph" w:styleId="47">
    <w:name w:val="toc 6"/>
    <w:basedOn w:val="1"/>
    <w:next w:val="1"/>
    <w:qFormat/>
    <w:uiPriority w:val="39"/>
    <w:pPr>
      <w:ind w:left="960"/>
      <w:jc w:val="left"/>
    </w:pPr>
    <w:rPr>
      <w:rFonts w:ascii="Calibri" w:hAnsi="Calibri"/>
      <w:sz w:val="20"/>
      <w:szCs w:val="20"/>
    </w:rPr>
  </w:style>
  <w:style w:type="paragraph" w:styleId="48">
    <w:name w:val="Body Text Indent 3"/>
    <w:basedOn w:val="1"/>
    <w:link w:val="90"/>
    <w:qFormat/>
    <w:uiPriority w:val="0"/>
    <w:pPr>
      <w:spacing w:after="120"/>
      <w:ind w:left="420" w:leftChars="200"/>
    </w:pPr>
    <w:rPr>
      <w:kern w:val="0"/>
      <w:sz w:val="16"/>
      <w:szCs w:val="16"/>
    </w:rPr>
  </w:style>
  <w:style w:type="paragraph" w:styleId="49">
    <w:name w:val="index 7"/>
    <w:basedOn w:val="1"/>
    <w:next w:val="1"/>
    <w:semiHidden/>
    <w:qFormat/>
    <w:uiPriority w:val="0"/>
    <w:pPr>
      <w:ind w:left="1200" w:leftChars="1200"/>
    </w:pPr>
  </w:style>
  <w:style w:type="paragraph" w:styleId="50">
    <w:name w:val="index 9"/>
    <w:basedOn w:val="1"/>
    <w:next w:val="1"/>
    <w:semiHidden/>
    <w:qFormat/>
    <w:uiPriority w:val="0"/>
    <w:pPr>
      <w:ind w:left="1600" w:leftChars="1600"/>
    </w:pPr>
  </w:style>
  <w:style w:type="paragraph" w:styleId="51">
    <w:name w:val="toc 2"/>
    <w:basedOn w:val="1"/>
    <w:next w:val="1"/>
    <w:uiPriority w:val="39"/>
    <w:pPr>
      <w:tabs>
        <w:tab w:val="right" w:leader="dot" w:pos="9060"/>
      </w:tabs>
      <w:ind w:left="482"/>
      <w:jc w:val="left"/>
    </w:pPr>
    <w:rPr>
      <w:rFonts w:ascii="Calibri" w:hAnsi="Calibri"/>
      <w:bCs/>
      <w:szCs w:val="20"/>
    </w:rPr>
  </w:style>
  <w:style w:type="paragraph" w:styleId="52">
    <w:name w:val="toc 9"/>
    <w:basedOn w:val="1"/>
    <w:next w:val="1"/>
    <w:qFormat/>
    <w:uiPriority w:val="39"/>
    <w:pPr>
      <w:ind w:left="1680"/>
      <w:jc w:val="left"/>
    </w:pPr>
    <w:rPr>
      <w:rFonts w:ascii="Calibri" w:hAnsi="Calibri"/>
      <w:sz w:val="20"/>
      <w:szCs w:val="20"/>
    </w:rPr>
  </w:style>
  <w:style w:type="paragraph" w:styleId="53">
    <w:name w:val="Body Text 2"/>
    <w:basedOn w:val="1"/>
    <w:link w:val="108"/>
    <w:unhideWhenUsed/>
    <w:qFormat/>
    <w:uiPriority w:val="99"/>
    <w:pPr>
      <w:spacing w:after="120" w:line="480" w:lineRule="auto"/>
    </w:pPr>
    <w:rPr>
      <w:kern w:val="0"/>
      <w:sz w:val="20"/>
    </w:rPr>
  </w:style>
  <w:style w:type="paragraph" w:styleId="54">
    <w:name w:val="HTML Preformatted"/>
    <w:basedOn w:val="1"/>
    <w:link w:val="2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rPr>
  </w:style>
  <w:style w:type="paragraph" w:styleId="55">
    <w:name w:val="Normal (Web)"/>
    <w:basedOn w:val="1"/>
    <w:qFormat/>
    <w:uiPriority w:val="99"/>
    <w:pPr>
      <w:widowControl/>
      <w:spacing w:before="100" w:beforeAutospacing="1" w:after="100" w:afterAutospacing="1"/>
      <w:jc w:val="left"/>
    </w:pPr>
    <w:rPr>
      <w:rFonts w:hint="eastAsia" w:ascii="宋体" w:hAnsi="宋体"/>
      <w:kern w:val="0"/>
    </w:rPr>
  </w:style>
  <w:style w:type="paragraph" w:styleId="56">
    <w:name w:val="index 2"/>
    <w:basedOn w:val="1"/>
    <w:next w:val="1"/>
    <w:semiHidden/>
    <w:qFormat/>
    <w:uiPriority w:val="0"/>
    <w:pPr>
      <w:ind w:left="200" w:leftChars="200"/>
    </w:pPr>
  </w:style>
  <w:style w:type="paragraph" w:styleId="57">
    <w:name w:val="Title"/>
    <w:basedOn w:val="1"/>
    <w:link w:val="8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8">
    <w:name w:val="annotation subject"/>
    <w:basedOn w:val="21"/>
    <w:next w:val="21"/>
    <w:link w:val="113"/>
    <w:semiHidden/>
    <w:qFormat/>
    <w:uiPriority w:val="0"/>
    <w:rPr>
      <w:b/>
      <w:bCs/>
    </w:rPr>
  </w:style>
  <w:style w:type="paragraph" w:styleId="59">
    <w:name w:val="Body Text First Indent"/>
    <w:basedOn w:val="25"/>
    <w:link w:val="397"/>
    <w:qFormat/>
    <w:uiPriority w:val="0"/>
    <w:pPr>
      <w:spacing w:after="0"/>
      <w:ind w:firstLine="200" w:firstLineChars="200"/>
    </w:pPr>
    <w:rPr>
      <w:rFonts w:ascii="Times" w:hAnsi="Times"/>
      <w:kern w:val="28"/>
      <w:sz w:val="28"/>
    </w:rPr>
  </w:style>
  <w:style w:type="table" w:styleId="61">
    <w:name w:val="Table Grid"/>
    <w:basedOn w:val="6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0"/>
    <w:rPr>
      <w:b/>
      <w:bCs/>
    </w:rPr>
  </w:style>
  <w:style w:type="character" w:styleId="64">
    <w:name w:val="endnote reference"/>
    <w:basedOn w:val="62"/>
    <w:semiHidden/>
    <w:unhideWhenUsed/>
    <w:qFormat/>
    <w:uiPriority w:val="0"/>
    <w:rPr>
      <w:vertAlign w:val="superscript"/>
    </w:rPr>
  </w:style>
  <w:style w:type="character" w:styleId="65">
    <w:name w:val="page number"/>
    <w:basedOn w:val="62"/>
    <w:uiPriority w:val="0"/>
  </w:style>
  <w:style w:type="character" w:styleId="66">
    <w:name w:val="FollowedHyperlink"/>
    <w:qFormat/>
    <w:uiPriority w:val="0"/>
    <w:rPr>
      <w:color w:val="800080"/>
      <w:u w:val="single"/>
    </w:rPr>
  </w:style>
  <w:style w:type="character" w:styleId="67">
    <w:name w:val="Emphasis"/>
    <w:qFormat/>
    <w:uiPriority w:val="0"/>
    <w:rPr>
      <w:i/>
      <w:iCs/>
    </w:rPr>
  </w:style>
  <w:style w:type="character" w:styleId="68">
    <w:name w:val="Hyperlink"/>
    <w:qFormat/>
    <w:uiPriority w:val="99"/>
    <w:rPr>
      <w:color w:val="0000FF"/>
      <w:u w:val="single"/>
    </w:rPr>
  </w:style>
  <w:style w:type="character" w:styleId="69">
    <w:name w:val="annotation reference"/>
    <w:qFormat/>
    <w:uiPriority w:val="0"/>
    <w:rPr>
      <w:sz w:val="21"/>
      <w:szCs w:val="21"/>
    </w:rPr>
  </w:style>
  <w:style w:type="character" w:styleId="70">
    <w:name w:val="footnote reference"/>
    <w:qFormat/>
    <w:uiPriority w:val="0"/>
    <w:rPr>
      <w:rFonts w:cs="Times New Roman"/>
      <w:vertAlign w:val="superscript"/>
    </w:rPr>
  </w:style>
  <w:style w:type="character" w:customStyle="1" w:styleId="71">
    <w:name w:val="标题 1 Char"/>
    <w:link w:val="2"/>
    <w:uiPriority w:val="0"/>
    <w:rPr>
      <w:rFonts w:ascii="Times New Roman" w:hAnsi="Times New Roman"/>
      <w:b/>
      <w:bCs/>
      <w:kern w:val="44"/>
      <w:sz w:val="44"/>
      <w:szCs w:val="44"/>
    </w:rPr>
  </w:style>
  <w:style w:type="paragraph" w:customStyle="1" w:styleId="72">
    <w:name w:val="Char Char Char Char Char Char Char Char Char Char"/>
    <w:basedOn w:val="1"/>
    <w:uiPriority w:val="0"/>
    <w:pPr>
      <w:tabs>
        <w:tab w:val="left" w:pos="360"/>
      </w:tabs>
      <w:ind w:left="360" w:hanging="360" w:hangingChars="200"/>
    </w:pPr>
    <w:rPr>
      <w:szCs w:val="20"/>
    </w:rPr>
  </w:style>
  <w:style w:type="character" w:customStyle="1" w:styleId="73">
    <w:name w:val="标题 2 Char"/>
    <w:link w:val="3"/>
    <w:uiPriority w:val="0"/>
    <w:rPr>
      <w:rFonts w:ascii="Arial" w:hAnsi="Arial"/>
      <w:b/>
      <w:bCs/>
      <w:sz w:val="24"/>
      <w:szCs w:val="32"/>
    </w:rPr>
  </w:style>
  <w:style w:type="character" w:customStyle="1" w:styleId="74">
    <w:name w:val="标题 3 Char"/>
    <w:link w:val="4"/>
    <w:uiPriority w:val="9"/>
    <w:rPr>
      <w:rFonts w:ascii="Times New Roman" w:hAnsi="Times New Roman" w:eastAsia="宋体" w:cs="Times New Roman"/>
      <w:b/>
      <w:bCs/>
      <w:sz w:val="32"/>
      <w:szCs w:val="32"/>
    </w:rPr>
  </w:style>
  <w:style w:type="character" w:customStyle="1" w:styleId="75">
    <w:name w:val="标题 4 Char"/>
    <w:link w:val="5"/>
    <w:uiPriority w:val="0"/>
    <w:rPr>
      <w:rFonts w:ascii="Arial" w:hAnsi="Arial" w:eastAsia="黑体" w:cs="Times New Roman"/>
      <w:b/>
      <w:bCs/>
      <w:sz w:val="28"/>
      <w:szCs w:val="28"/>
    </w:rPr>
  </w:style>
  <w:style w:type="character" w:customStyle="1" w:styleId="76">
    <w:name w:val="标题 5 Char"/>
    <w:link w:val="6"/>
    <w:uiPriority w:val="0"/>
    <w:rPr>
      <w:rFonts w:ascii="Times New Roman" w:hAnsi="Times New Roman" w:eastAsia="宋体" w:cs="Times New Roman"/>
      <w:b/>
      <w:kern w:val="0"/>
      <w:sz w:val="28"/>
      <w:szCs w:val="20"/>
    </w:rPr>
  </w:style>
  <w:style w:type="character" w:customStyle="1" w:styleId="77">
    <w:name w:val="标题 6 Char"/>
    <w:link w:val="7"/>
    <w:uiPriority w:val="0"/>
    <w:rPr>
      <w:rFonts w:ascii="Arial" w:hAnsi="Arial" w:eastAsia="黑体" w:cs="Times New Roman"/>
      <w:b/>
      <w:bCs/>
      <w:kern w:val="0"/>
      <w:sz w:val="24"/>
      <w:szCs w:val="24"/>
    </w:rPr>
  </w:style>
  <w:style w:type="character" w:customStyle="1" w:styleId="78">
    <w:name w:val="标题 7 Char"/>
    <w:link w:val="8"/>
    <w:uiPriority w:val="0"/>
    <w:rPr>
      <w:rFonts w:ascii="Times New Roman" w:hAnsi="Times New Roman" w:eastAsia="宋体" w:cs="Times New Roman"/>
      <w:b/>
      <w:bCs/>
      <w:kern w:val="0"/>
      <w:sz w:val="24"/>
      <w:szCs w:val="24"/>
    </w:rPr>
  </w:style>
  <w:style w:type="character" w:customStyle="1" w:styleId="79">
    <w:name w:val="标题 8 Char"/>
    <w:link w:val="9"/>
    <w:uiPriority w:val="0"/>
    <w:rPr>
      <w:rFonts w:ascii="Arial" w:hAnsi="Arial" w:eastAsia="黑体" w:cs="Times New Roman"/>
      <w:kern w:val="0"/>
      <w:sz w:val="24"/>
      <w:szCs w:val="24"/>
    </w:rPr>
  </w:style>
  <w:style w:type="character" w:customStyle="1" w:styleId="80">
    <w:name w:val="标题 9 Char"/>
    <w:link w:val="10"/>
    <w:uiPriority w:val="0"/>
    <w:rPr>
      <w:rFonts w:ascii="Arial" w:hAnsi="Arial" w:eastAsia="黑体" w:cs="Times New Roman"/>
      <w:kern w:val="0"/>
      <w:szCs w:val="21"/>
    </w:rPr>
  </w:style>
  <w:style w:type="character" w:customStyle="1" w:styleId="81">
    <w:name w:val="页眉 Char"/>
    <w:link w:val="40"/>
    <w:uiPriority w:val="99"/>
    <w:rPr>
      <w:rFonts w:ascii="Times New Roman" w:hAnsi="Times New Roman" w:eastAsia="宋体" w:cs="Times New Roman"/>
      <w:sz w:val="18"/>
      <w:szCs w:val="18"/>
    </w:rPr>
  </w:style>
  <w:style w:type="character" w:customStyle="1" w:styleId="82">
    <w:name w:val="页脚 Char"/>
    <w:link w:val="39"/>
    <w:uiPriority w:val="99"/>
    <w:rPr>
      <w:rFonts w:ascii="Times New Roman" w:hAnsi="Times New Roman" w:eastAsia="宋体" w:cs="Times New Roman"/>
      <w:sz w:val="18"/>
      <w:szCs w:val="18"/>
    </w:rPr>
  </w:style>
  <w:style w:type="character" w:customStyle="1" w:styleId="83">
    <w:name w:val="正文文本 3 Char"/>
    <w:link w:val="24"/>
    <w:qFormat/>
    <w:uiPriority w:val="99"/>
    <w:rPr>
      <w:rFonts w:ascii="宋体" w:hAnsi="Times New Roman" w:eastAsia="宋体" w:cs="Times New Roman"/>
      <w:sz w:val="24"/>
      <w:szCs w:val="20"/>
    </w:rPr>
  </w:style>
  <w:style w:type="paragraph" w:customStyle="1" w:styleId="84">
    <w:name w:val="样式 标题 3 + (中文) 黑体 小四 非加粗 段前: 7.8 磅 段后: 0 磅 行距: 固定值 20 磅"/>
    <w:basedOn w:val="4"/>
    <w:link w:val="211"/>
    <w:qFormat/>
    <w:uiPriority w:val="0"/>
    <w:pPr>
      <w:spacing w:before="0" w:after="0" w:line="400" w:lineRule="exact"/>
    </w:pPr>
    <w:rPr>
      <w:rFonts w:eastAsia="黑体" w:cs="宋体"/>
      <w:sz w:val="24"/>
    </w:rPr>
  </w:style>
  <w:style w:type="paragraph" w:customStyle="1" w:styleId="85">
    <w:name w:val="样式 标题 2 + Times New Roman 四号 非加粗 段前: 5 磅 段后: 0 磅 行距: 固定值 20..."/>
    <w:basedOn w:val="3"/>
    <w:qFormat/>
    <w:uiPriority w:val="0"/>
    <w:pPr>
      <w:spacing w:before="100" w:line="400" w:lineRule="exact"/>
    </w:pPr>
    <w:rPr>
      <w:rFonts w:ascii="Times New Roman" w:hAnsi="Times New Roman" w:cs="宋体"/>
      <w:b w:val="0"/>
      <w:bCs w:val="0"/>
      <w:sz w:val="28"/>
      <w:szCs w:val="20"/>
    </w:rPr>
  </w:style>
  <w:style w:type="paragraph" w:customStyle="1" w:styleId="86">
    <w:name w:val="样式 标题 1 + 黑体 三号 非加粗 居中 段前: 6 磅 段后: 6 磅 行距: 固定值 20 磅"/>
    <w:basedOn w:val="2"/>
    <w:qFormat/>
    <w:uiPriority w:val="0"/>
    <w:pPr>
      <w:spacing w:before="120" w:after="120" w:line="400" w:lineRule="exact"/>
    </w:pPr>
    <w:rPr>
      <w:rFonts w:ascii="黑体" w:hAnsi="黑体" w:eastAsia="黑体" w:cs="宋体"/>
      <w:b w:val="0"/>
      <w:bCs w:val="0"/>
      <w:sz w:val="32"/>
      <w:szCs w:val="20"/>
    </w:rPr>
  </w:style>
  <w:style w:type="character" w:customStyle="1" w:styleId="87">
    <w:name w:val="批注文字 Char"/>
    <w:link w:val="21"/>
    <w:qFormat/>
    <w:uiPriority w:val="99"/>
    <w:rPr>
      <w:rFonts w:ascii="Times New Roman" w:hAnsi="Times New Roman" w:eastAsia="宋体" w:cs="Times New Roman"/>
      <w:szCs w:val="24"/>
    </w:rPr>
  </w:style>
  <w:style w:type="character" w:customStyle="1" w:styleId="88">
    <w:name w:val="标题 Char"/>
    <w:link w:val="57"/>
    <w:qFormat/>
    <w:uiPriority w:val="0"/>
    <w:rPr>
      <w:rFonts w:ascii="Arial" w:hAnsi="Arial" w:eastAsia="宋体" w:cs="Times New Roman"/>
      <w:b/>
      <w:kern w:val="0"/>
      <w:sz w:val="32"/>
      <w:szCs w:val="20"/>
    </w:rPr>
  </w:style>
  <w:style w:type="character" w:customStyle="1" w:styleId="89">
    <w:name w:val="正文文本缩进 Char"/>
    <w:link w:val="26"/>
    <w:qFormat/>
    <w:uiPriority w:val="0"/>
    <w:rPr>
      <w:rFonts w:ascii="Times New Roman" w:hAnsi="Times New Roman" w:eastAsia="宋体" w:cs="Times New Roman"/>
      <w:szCs w:val="24"/>
    </w:rPr>
  </w:style>
  <w:style w:type="character" w:customStyle="1" w:styleId="90">
    <w:name w:val="正文文本缩进 3 Char"/>
    <w:link w:val="48"/>
    <w:qFormat/>
    <w:uiPriority w:val="0"/>
    <w:rPr>
      <w:rFonts w:ascii="Times New Roman" w:hAnsi="Times New Roman" w:eastAsia="宋体" w:cs="Times New Roman"/>
      <w:sz w:val="16"/>
      <w:szCs w:val="16"/>
    </w:rPr>
  </w:style>
  <w:style w:type="paragraph" w:customStyle="1" w:styleId="91">
    <w:name w:val="1"/>
    <w:basedOn w:val="1"/>
    <w:qFormat/>
    <w:uiPriority w:val="0"/>
  </w:style>
  <w:style w:type="character" w:customStyle="1" w:styleId="92">
    <w:name w:val="font161"/>
    <w:qFormat/>
    <w:uiPriority w:val="0"/>
    <w:rPr>
      <w:b/>
      <w:bCs/>
      <w:sz w:val="32"/>
      <w:szCs w:val="32"/>
    </w:rPr>
  </w:style>
  <w:style w:type="character" w:customStyle="1" w:styleId="93">
    <w:name w:val="正文文本 Char2"/>
    <w:link w:val="25"/>
    <w:qFormat/>
    <w:uiPriority w:val="99"/>
    <w:rPr>
      <w:rFonts w:ascii="Times New Roman" w:hAnsi="Times New Roman" w:eastAsia="宋体" w:cs="Times New Roman"/>
      <w:szCs w:val="24"/>
    </w:rPr>
  </w:style>
  <w:style w:type="paragraph" w:customStyle="1" w:styleId="9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95">
    <w:name w:val="日期 Char"/>
    <w:link w:val="35"/>
    <w:qFormat/>
    <w:uiPriority w:val="0"/>
    <w:rPr>
      <w:rFonts w:ascii="Times New Roman" w:hAnsi="Times New Roman" w:eastAsia="宋体" w:cs="Times New Roman"/>
      <w:sz w:val="24"/>
      <w:szCs w:val="20"/>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表格文字"/>
    <w:basedOn w:val="1"/>
    <w:qFormat/>
    <w:uiPriority w:val="0"/>
    <w:pPr>
      <w:adjustRightInd w:val="0"/>
      <w:spacing w:line="420" w:lineRule="atLeast"/>
      <w:jc w:val="left"/>
      <w:textAlignment w:val="baseline"/>
    </w:pPr>
    <w:rPr>
      <w:kern w:val="0"/>
      <w:szCs w:val="20"/>
    </w:rPr>
  </w:style>
  <w:style w:type="character" w:customStyle="1" w:styleId="98">
    <w:name w:val="批注框文本 Char"/>
    <w:link w:val="38"/>
    <w:semiHidden/>
    <w:qFormat/>
    <w:uiPriority w:val="99"/>
    <w:rPr>
      <w:rFonts w:ascii="Times New Roman" w:hAnsi="Times New Roman" w:eastAsia="宋体" w:cs="Times New Roman"/>
      <w:sz w:val="18"/>
      <w:szCs w:val="18"/>
    </w:rPr>
  </w:style>
  <w:style w:type="character" w:customStyle="1" w:styleId="99">
    <w:name w:val="文档结构图 Char"/>
    <w:link w:val="19"/>
    <w:semiHidden/>
    <w:qFormat/>
    <w:uiPriority w:val="99"/>
    <w:rPr>
      <w:rFonts w:ascii="Times New Roman" w:hAnsi="Times New Roman" w:eastAsia="宋体" w:cs="Times New Roman"/>
      <w:szCs w:val="24"/>
      <w:shd w:val="clear" w:color="auto" w:fill="000080"/>
    </w:rPr>
  </w:style>
  <w:style w:type="paragraph" w:customStyle="1" w:styleId="100">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01">
    <w:name w:val="正文文本缩进 2 Char"/>
    <w:link w:val="36"/>
    <w:qFormat/>
    <w:uiPriority w:val="99"/>
    <w:rPr>
      <w:rFonts w:ascii="Times New Roman" w:hAnsi="Times New Roman" w:eastAsia="宋体" w:cs="Times New Roman"/>
      <w:szCs w:val="24"/>
    </w:rPr>
  </w:style>
  <w:style w:type="paragraph" w:customStyle="1" w:styleId="102">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styleId="103">
    <w:name w:val="List Paragraph"/>
    <w:basedOn w:val="1"/>
    <w:qFormat/>
    <w:uiPriority w:val="34"/>
    <w:pPr>
      <w:ind w:firstLine="420" w:firstLineChars="200"/>
    </w:pPr>
  </w:style>
  <w:style w:type="character" w:customStyle="1" w:styleId="104">
    <w:name w:val="纯文本 Char1"/>
    <w:link w:val="32"/>
    <w:qFormat/>
    <w:uiPriority w:val="0"/>
    <w:rPr>
      <w:rFonts w:ascii="宋体" w:hAnsi="Courier New" w:eastAsia="宋体" w:cs="Times New Roman"/>
      <w:szCs w:val="21"/>
    </w:rPr>
  </w:style>
  <w:style w:type="paragraph" w:customStyle="1" w:styleId="105">
    <w:name w:val="表格1"/>
    <w:basedOn w:val="32"/>
    <w:qFormat/>
    <w:uiPriority w:val="0"/>
    <w:pPr>
      <w:adjustRightInd w:val="0"/>
      <w:snapToGrid w:val="0"/>
      <w:spacing w:beforeLines="50" w:after="100"/>
    </w:pPr>
    <w:rPr>
      <w:rFonts w:hAnsi="宋体"/>
      <w:bCs/>
      <w:color w:val="000000"/>
      <w:sz w:val="18"/>
      <w:szCs w:val="30"/>
    </w:rPr>
  </w:style>
  <w:style w:type="paragraph" w:customStyle="1" w:styleId="106">
    <w:name w:val="正文用"/>
    <w:basedOn w:val="1"/>
    <w:link w:val="107"/>
    <w:qFormat/>
    <w:uiPriority w:val="0"/>
    <w:pPr>
      <w:spacing w:line="360" w:lineRule="exact"/>
      <w:ind w:firstLine="420" w:firstLineChars="200"/>
      <w:jc w:val="left"/>
    </w:pPr>
    <w:rPr>
      <w:kern w:val="0"/>
      <w:sz w:val="20"/>
      <w:szCs w:val="21"/>
    </w:rPr>
  </w:style>
  <w:style w:type="character" w:customStyle="1" w:styleId="107">
    <w:name w:val="正文用 Char"/>
    <w:link w:val="106"/>
    <w:qFormat/>
    <w:uiPriority w:val="0"/>
    <w:rPr>
      <w:rFonts w:ascii="Times New Roman" w:hAnsi="Times New Roman" w:eastAsia="宋体" w:cs="Times New Roman"/>
      <w:kern w:val="0"/>
      <w:szCs w:val="21"/>
    </w:rPr>
  </w:style>
  <w:style w:type="character" w:customStyle="1" w:styleId="108">
    <w:name w:val="正文文本 2 Char"/>
    <w:link w:val="53"/>
    <w:qFormat/>
    <w:uiPriority w:val="99"/>
    <w:rPr>
      <w:rFonts w:ascii="Times New Roman" w:hAnsi="Times New Roman" w:eastAsia="宋体" w:cs="Times New Roman"/>
      <w:szCs w:val="24"/>
    </w:rPr>
  </w:style>
  <w:style w:type="paragraph" w:customStyle="1" w:styleId="109">
    <w:name w:val="1名"/>
    <w:basedOn w:val="1"/>
    <w:qFormat/>
    <w:uiPriority w:val="0"/>
    <w:pPr>
      <w:tabs>
        <w:tab w:val="left" w:pos="2700"/>
      </w:tabs>
      <w:spacing w:before="120"/>
      <w:ind w:left="2700" w:hanging="1350"/>
    </w:pPr>
    <w:rPr>
      <w:rFonts w:ascii="宋体"/>
      <w:sz w:val="28"/>
    </w:rPr>
  </w:style>
  <w:style w:type="paragraph" w:customStyle="1" w:styleId="110">
    <w:name w:val="dl3"/>
    <w:basedOn w:val="1"/>
    <w:qFormat/>
    <w:uiPriority w:val="0"/>
    <w:pPr>
      <w:adjustRightInd w:val="0"/>
      <w:spacing w:line="312" w:lineRule="atLeast"/>
      <w:ind w:left="360"/>
      <w:textAlignment w:val="baseline"/>
    </w:pPr>
    <w:rPr>
      <w:kern w:val="0"/>
      <w:szCs w:val="20"/>
    </w:rPr>
  </w:style>
  <w:style w:type="paragraph" w:customStyle="1" w:styleId="111">
    <w:name w:val="日期1"/>
    <w:basedOn w:val="1"/>
    <w:next w:val="1"/>
    <w:qFormat/>
    <w:uiPriority w:val="0"/>
    <w:pPr>
      <w:autoSpaceDE w:val="0"/>
      <w:autoSpaceDN w:val="0"/>
      <w:adjustRightInd w:val="0"/>
      <w:spacing w:line="315" w:lineRule="atLeast"/>
      <w:textAlignment w:val="baseline"/>
    </w:pPr>
    <w:rPr>
      <w:rFonts w:ascii="黑体" w:eastAsia="黑体"/>
      <w:kern w:val="0"/>
      <w:sz w:val="28"/>
      <w:szCs w:val="20"/>
    </w:rPr>
  </w:style>
  <w:style w:type="paragraph" w:customStyle="1" w:styleId="112">
    <w:name w:val="xl29"/>
    <w:basedOn w:val="1"/>
    <w:link w:val="213"/>
    <w:qFormat/>
    <w:uiPriority w:val="0"/>
    <w:pPr>
      <w:widowControl/>
      <w:spacing w:before="100" w:after="100"/>
      <w:jc w:val="center"/>
    </w:pPr>
    <w:rPr>
      <w:rFonts w:ascii="宋体" w:hAnsi="宋体"/>
      <w:kern w:val="0"/>
      <w:szCs w:val="20"/>
    </w:rPr>
  </w:style>
  <w:style w:type="character" w:customStyle="1" w:styleId="113">
    <w:name w:val="批注主题 Char"/>
    <w:link w:val="58"/>
    <w:semiHidden/>
    <w:qFormat/>
    <w:uiPriority w:val="0"/>
    <w:rPr>
      <w:rFonts w:ascii="Times New Roman" w:hAnsi="Times New Roman" w:eastAsia="宋体" w:cs="Times New Roman"/>
      <w:b/>
      <w:bCs/>
      <w:szCs w:val="24"/>
    </w:rPr>
  </w:style>
  <w:style w:type="character" w:customStyle="1" w:styleId="114">
    <w:name w:val="称呼 Char"/>
    <w:link w:val="23"/>
    <w:qFormat/>
    <w:uiPriority w:val="0"/>
    <w:rPr>
      <w:rFonts w:ascii="宋体" w:hAnsi="Times New Roman" w:eastAsia="仿宋_GB2312" w:cs="Times New Roman"/>
      <w:szCs w:val="20"/>
    </w:rPr>
  </w:style>
  <w:style w:type="paragraph" w:customStyle="1" w:styleId="115">
    <w:name w:val="Section #"/>
    <w:next w:val="116"/>
    <w:qFormat/>
    <w:uiPriority w:val="0"/>
    <w:pPr>
      <w:widowControl w:val="0"/>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116">
    <w:name w:val="Title Headings"/>
    <w:qFormat/>
    <w:uiPriority w:val="99"/>
    <w:pPr>
      <w:widowControl w:val="0"/>
      <w:overflowPunct w:val="0"/>
      <w:autoSpaceDE w:val="0"/>
      <w:autoSpaceDN w:val="0"/>
      <w:adjustRightInd w:val="0"/>
      <w:spacing w:line="300" w:lineRule="auto"/>
      <w:ind w:hanging="105"/>
      <w:jc w:val="center"/>
      <w:textAlignment w:val="baseline"/>
    </w:pPr>
    <w:rPr>
      <w:rFonts w:ascii="Times New Roman" w:hAnsi="Times New Roman" w:eastAsia="宋体" w:cs="Times New Roman"/>
      <w:b/>
      <w:sz w:val="24"/>
      <w:lang w:val="en-US" w:eastAsia="zh-CN" w:bidi="ar-SA"/>
    </w:rPr>
  </w:style>
  <w:style w:type="paragraph" w:customStyle="1" w:styleId="117">
    <w:name w:val="标题3"/>
    <w:basedOn w:val="1"/>
    <w:qFormat/>
    <w:uiPriority w:val="0"/>
    <w:pPr>
      <w:ind w:firstLine="560" w:firstLineChars="200"/>
    </w:pPr>
    <w:rPr>
      <w:rFonts w:ascii="宋体" w:hAnsi="宋体"/>
      <w:spacing w:val="20"/>
    </w:rPr>
  </w:style>
  <w:style w:type="paragraph" w:customStyle="1" w:styleId="118">
    <w:name w:val="内容"/>
    <w:basedOn w:val="1"/>
    <w:qFormat/>
    <w:uiPriority w:val="0"/>
    <w:pPr>
      <w:adjustRightInd w:val="0"/>
      <w:snapToGrid w:val="0"/>
      <w:ind w:left="100" w:leftChars="100" w:right="100" w:rightChars="100"/>
      <w:jc w:val="left"/>
    </w:pPr>
    <w:rPr>
      <w:sz w:val="28"/>
    </w:rPr>
  </w:style>
  <w:style w:type="paragraph" w:customStyle="1" w:styleId="119">
    <w:name w:val="xl26"/>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Cs w:val="21"/>
    </w:rPr>
  </w:style>
  <w:style w:type="paragraph" w:customStyle="1" w:styleId="120">
    <w:name w:val="xl27"/>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121">
    <w:name w:val="样式2"/>
    <w:basedOn w:val="32"/>
    <w:qFormat/>
    <w:uiPriority w:val="0"/>
    <w:pPr>
      <w:jc w:val="center"/>
    </w:pPr>
    <w:rPr>
      <w:rFonts w:hAnsi="宋体"/>
      <w:szCs w:val="24"/>
    </w:rPr>
  </w:style>
  <w:style w:type="paragraph" w:customStyle="1" w:styleId="122">
    <w:name w:val="样式4"/>
    <w:basedOn w:val="15"/>
    <w:qFormat/>
    <w:uiPriority w:val="0"/>
    <w:pPr>
      <w:ind w:firstLine="0" w:firstLineChars="0"/>
    </w:pPr>
    <w:rPr>
      <w:rFonts w:ascii="宋体" w:hAnsi="宋体"/>
      <w:color w:val="000000"/>
      <w:sz w:val="24"/>
      <w:szCs w:val="20"/>
    </w:rPr>
  </w:style>
  <w:style w:type="paragraph" w:customStyle="1" w:styleId="123">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125">
    <w:name w:val="正文文本缩进1"/>
    <w:basedOn w:val="1"/>
    <w:qFormat/>
    <w:uiPriority w:val="0"/>
    <w:pPr>
      <w:adjustRightInd w:val="0"/>
      <w:spacing w:line="360" w:lineRule="atLeast"/>
      <w:ind w:left="280" w:firstLine="560"/>
      <w:jc w:val="left"/>
      <w:textAlignment w:val="baseline"/>
    </w:pPr>
    <w:rPr>
      <w:kern w:val="0"/>
    </w:rPr>
  </w:style>
  <w:style w:type="paragraph" w:customStyle="1" w:styleId="126">
    <w:name w:val="xl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olor w:val="000000"/>
      <w:kern w:val="0"/>
      <w:sz w:val="20"/>
      <w:szCs w:val="20"/>
    </w:rPr>
  </w:style>
  <w:style w:type="paragraph" w:customStyle="1" w:styleId="127">
    <w:name w:val="xl37"/>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color w:val="FF0000"/>
      <w:kern w:val="0"/>
    </w:rPr>
  </w:style>
  <w:style w:type="paragraph" w:customStyle="1" w:styleId="128">
    <w:name w:val="样式1"/>
    <w:basedOn w:val="15"/>
    <w:qFormat/>
    <w:uiPriority w:val="0"/>
    <w:pPr>
      <w:keepNext/>
      <w:tabs>
        <w:tab w:val="left" w:pos="-120"/>
        <w:tab w:val="left" w:pos="765"/>
        <w:tab w:val="left" w:pos="1140"/>
      </w:tabs>
      <w:adjustRightInd w:val="0"/>
      <w:snapToGrid w:val="0"/>
      <w:spacing w:line="300" w:lineRule="auto"/>
      <w:ind w:left="1140" w:firstLine="480" w:firstLineChars="0"/>
      <w:outlineLvl w:val="3"/>
    </w:pPr>
    <w:rPr>
      <w:rFonts w:ascii="宋体"/>
      <w:kern w:val="0"/>
      <w:sz w:val="24"/>
      <w:szCs w:val="20"/>
    </w:rPr>
  </w:style>
  <w:style w:type="paragraph" w:customStyle="1" w:styleId="12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rPr>
  </w:style>
  <w:style w:type="paragraph" w:customStyle="1" w:styleId="131">
    <w:name w:val="xl25"/>
    <w:basedOn w:val="1"/>
    <w:qFormat/>
    <w:uiPriority w:val="0"/>
    <w:pPr>
      <w:widowControl/>
      <w:spacing w:before="100" w:beforeAutospacing="1" w:after="100" w:afterAutospacing="1"/>
      <w:jc w:val="center"/>
    </w:pPr>
    <w:rPr>
      <w:rFonts w:hint="eastAsia" w:ascii="宋体" w:hAnsi="宋体"/>
      <w:color w:val="000000"/>
      <w:kern w:val="0"/>
      <w:sz w:val="22"/>
      <w:szCs w:val="22"/>
    </w:rPr>
  </w:style>
  <w:style w:type="paragraph" w:customStyle="1" w:styleId="1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rPr>
  </w:style>
  <w:style w:type="paragraph" w:customStyle="1" w:styleId="133">
    <w:name w:val="Blockquote"/>
    <w:basedOn w:val="1"/>
    <w:qFormat/>
    <w:uiPriority w:val="0"/>
    <w:pPr>
      <w:autoSpaceDE w:val="0"/>
      <w:autoSpaceDN w:val="0"/>
      <w:adjustRightInd w:val="0"/>
      <w:spacing w:before="100" w:after="100"/>
      <w:ind w:left="360" w:right="360"/>
      <w:jc w:val="left"/>
    </w:pPr>
    <w:rPr>
      <w:kern w:val="0"/>
      <w:szCs w:val="20"/>
    </w:rPr>
  </w:style>
  <w:style w:type="paragraph" w:customStyle="1" w:styleId="134">
    <w:name w:val="分项1"/>
    <w:basedOn w:val="1"/>
    <w:qFormat/>
    <w:uiPriority w:val="0"/>
    <w:pPr>
      <w:snapToGrid w:val="0"/>
      <w:spacing w:before="120"/>
    </w:pPr>
    <w:rPr>
      <w:szCs w:val="20"/>
    </w:rPr>
  </w:style>
  <w:style w:type="paragraph" w:customStyle="1" w:styleId="135">
    <w:name w:val="正文1"/>
    <w:qFormat/>
    <w:uiPriority w:val="0"/>
    <w:pPr>
      <w:widowControl w:val="0"/>
      <w:adjustRightInd w:val="0"/>
      <w:spacing w:line="360" w:lineRule="atLeast"/>
      <w:ind w:firstLine="454"/>
      <w:textAlignment w:val="baseline"/>
    </w:pPr>
    <w:rPr>
      <w:rFonts w:ascii="宋体" w:hAnsi="Times New Roman" w:eastAsia="宋体" w:cs="Times New Roman"/>
      <w:sz w:val="24"/>
      <w:lang w:val="en-US" w:eastAsia="zh-CN" w:bidi="ar-SA"/>
    </w:rPr>
  </w:style>
  <w:style w:type="paragraph" w:customStyle="1" w:styleId="136">
    <w:name w:val="xl47"/>
    <w:basedOn w:val="1"/>
    <w:qFormat/>
    <w:uiPriority w:val="0"/>
    <w:pPr>
      <w:widowControl/>
      <w:pBdr>
        <w:left w:val="single" w:color="auto" w:sz="8" w:space="0"/>
        <w:bottom w:val="single" w:color="auto" w:sz="8" w:space="0"/>
        <w:right w:val="single" w:color="auto" w:sz="4" w:space="0"/>
      </w:pBdr>
      <w:spacing w:before="100" w:after="100"/>
      <w:jc w:val="center"/>
    </w:pPr>
    <w:rPr>
      <w:kern w:val="0"/>
      <w:szCs w:val="20"/>
    </w:rPr>
  </w:style>
  <w:style w:type="paragraph" w:customStyle="1" w:styleId="137">
    <w:name w:val="纯文本1"/>
    <w:basedOn w:val="1"/>
    <w:qFormat/>
    <w:uiPriority w:val="0"/>
    <w:pPr>
      <w:adjustRightInd w:val="0"/>
      <w:jc w:val="left"/>
      <w:textAlignment w:val="baseline"/>
    </w:pPr>
    <w:rPr>
      <w:rFonts w:ascii="宋体" w:hAnsi="Courier New"/>
      <w:szCs w:val="20"/>
    </w:rPr>
  </w:style>
  <w:style w:type="character" w:customStyle="1" w:styleId="138">
    <w:name w:val="注释标题 Char"/>
    <w:link w:val="12"/>
    <w:qFormat/>
    <w:uiPriority w:val="0"/>
    <w:rPr>
      <w:rFonts w:ascii="Times New Roman" w:hAnsi="Times New Roman" w:eastAsia="宋体" w:cs="Times New Roman"/>
      <w:szCs w:val="24"/>
    </w:rPr>
  </w:style>
  <w:style w:type="paragraph" w:customStyle="1" w:styleId="139">
    <w:name w:val="Char Char Char"/>
    <w:basedOn w:val="1"/>
    <w:qFormat/>
    <w:uiPriority w:val="0"/>
    <w:pPr>
      <w:ind w:firstLine="200" w:firstLineChars="200"/>
    </w:pPr>
    <w:rPr>
      <w:rFonts w:ascii="宋体" w:hAnsi="宋体" w:cs="宋体"/>
    </w:rPr>
  </w:style>
  <w:style w:type="paragraph" w:customStyle="1" w:styleId="140">
    <w:name w:val="font0"/>
    <w:basedOn w:val="1"/>
    <w:qFormat/>
    <w:uiPriority w:val="0"/>
    <w:pPr>
      <w:widowControl/>
      <w:spacing w:before="100" w:beforeAutospacing="1" w:after="100" w:afterAutospacing="1"/>
      <w:jc w:val="left"/>
    </w:pPr>
    <w:rPr>
      <w:rFonts w:hint="eastAsia" w:ascii="宋体" w:hAnsi="宋体"/>
      <w:kern w:val="0"/>
    </w:rPr>
  </w:style>
  <w:style w:type="paragraph" w:customStyle="1" w:styleId="141">
    <w:name w:val="Char"/>
    <w:basedOn w:val="1"/>
    <w:qFormat/>
    <w:uiPriority w:val="0"/>
    <w:pPr>
      <w:ind w:firstLine="200" w:firstLineChars="200"/>
    </w:pPr>
    <w:rPr>
      <w:rFonts w:ascii="宋体" w:hAnsi="宋体" w:cs="宋体"/>
    </w:rPr>
  </w:style>
  <w:style w:type="paragraph" w:customStyle="1" w:styleId="142">
    <w:name w:val="Char2"/>
    <w:basedOn w:val="1"/>
    <w:qFormat/>
    <w:uiPriority w:val="0"/>
    <w:pPr>
      <w:ind w:firstLine="200" w:firstLineChars="200"/>
    </w:pPr>
    <w:rPr>
      <w:rFonts w:ascii="宋体" w:hAnsi="宋体" w:cs="宋体"/>
    </w:rPr>
  </w:style>
  <w:style w:type="character" w:customStyle="1" w:styleId="143">
    <w:name w:val="Char Char"/>
    <w:qFormat/>
    <w:uiPriority w:val="0"/>
    <w:rPr>
      <w:rFonts w:eastAsia="宋体"/>
      <w:kern w:val="2"/>
      <w:sz w:val="18"/>
      <w:szCs w:val="18"/>
      <w:lang w:val="en-US" w:eastAsia="zh-CN" w:bidi="ar-SA"/>
    </w:rPr>
  </w:style>
  <w:style w:type="character" w:customStyle="1" w:styleId="144">
    <w:name w:val="Char Char1"/>
    <w:qFormat/>
    <w:uiPriority w:val="0"/>
    <w:rPr>
      <w:rFonts w:eastAsia="宋体"/>
      <w:kern w:val="2"/>
      <w:sz w:val="21"/>
      <w:szCs w:val="24"/>
      <w:lang w:val="en-US" w:eastAsia="zh-CN" w:bidi="ar-SA"/>
    </w:rPr>
  </w:style>
  <w:style w:type="paragraph" w:customStyle="1" w:styleId="145">
    <w:name w:val="Char1"/>
    <w:basedOn w:val="19"/>
    <w:qFormat/>
    <w:uiPriority w:val="0"/>
    <w:rPr>
      <w:rFonts w:ascii="Tahoma" w:hAnsi="Tahoma"/>
      <w:sz w:val="24"/>
    </w:rPr>
  </w:style>
  <w:style w:type="character" w:customStyle="1" w:styleId="146">
    <w:name w:val="合同标题 Char"/>
    <w:qFormat/>
    <w:uiPriority w:val="0"/>
    <w:rPr>
      <w:rFonts w:eastAsia="宋体"/>
      <w:b/>
      <w:kern w:val="44"/>
      <w:sz w:val="44"/>
      <w:lang w:val="en-US" w:eastAsia="zh-CN" w:bidi="ar-SA"/>
    </w:rPr>
  </w:style>
  <w:style w:type="character" w:customStyle="1" w:styleId="147">
    <w:name w:val="h2 Char"/>
    <w:qFormat/>
    <w:uiPriority w:val="0"/>
    <w:rPr>
      <w:rFonts w:ascii="Arial" w:hAnsi="Arial" w:eastAsia="黑体"/>
      <w:b/>
      <w:sz w:val="32"/>
      <w:lang w:val="en-US" w:eastAsia="zh-CN" w:bidi="ar-SA"/>
    </w:rPr>
  </w:style>
  <w:style w:type="character" w:customStyle="1" w:styleId="148">
    <w:name w:val="标题 4.1.1 Char"/>
    <w:qFormat/>
    <w:uiPriority w:val="0"/>
    <w:rPr>
      <w:rFonts w:eastAsia="宋体"/>
      <w:b/>
      <w:sz w:val="32"/>
      <w:lang w:val="en-US" w:eastAsia="zh-CN" w:bidi="ar-SA"/>
    </w:rPr>
  </w:style>
  <w:style w:type="character" w:customStyle="1" w:styleId="149">
    <w:name w:val="普通文字 Char Char Char"/>
    <w:qFormat/>
    <w:uiPriority w:val="0"/>
    <w:rPr>
      <w:rFonts w:ascii="宋体" w:hAnsi="Courier New" w:eastAsia="宋体"/>
      <w:kern w:val="2"/>
      <w:sz w:val="21"/>
      <w:szCs w:val="21"/>
      <w:lang w:val="en-US" w:eastAsia="zh-CN" w:bidi="ar-SA"/>
    </w:rPr>
  </w:style>
  <w:style w:type="paragraph" w:customStyle="1" w:styleId="150">
    <w:name w:val="BodyTextNumbered"/>
    <w:basedOn w:val="1"/>
    <w:qFormat/>
    <w:uiPriority w:val="0"/>
    <w:pPr>
      <w:widowControl/>
      <w:spacing w:after="120"/>
      <w:ind w:left="283" w:hanging="283"/>
      <w:jc w:val="left"/>
    </w:pPr>
    <w:rPr>
      <w:rFonts w:ascii="Arial" w:hAnsi="Arial"/>
      <w:kern w:val="0"/>
      <w:sz w:val="22"/>
      <w:szCs w:val="20"/>
      <w:lang w:val="en-GB" w:eastAsia="en-US"/>
    </w:rPr>
  </w:style>
  <w:style w:type="paragraph" w:customStyle="1" w:styleId="151">
    <w:name w:val="样式 标题 3 + 段后: 0.5 行1"/>
    <w:basedOn w:val="4"/>
    <w:qFormat/>
    <w:uiPriority w:val="0"/>
    <w:pPr>
      <w:keepNext w:val="0"/>
      <w:keepLines w:val="0"/>
      <w:adjustRightInd w:val="0"/>
      <w:snapToGrid w:val="0"/>
      <w:spacing w:before="0" w:afterLines="50" w:line="360" w:lineRule="auto"/>
      <w:ind w:left="420" w:firstLine="107"/>
    </w:pPr>
    <w:rPr>
      <w:rFonts w:ascii="仿宋_GB2312" w:eastAsia="仿宋_GB2312" w:cs="宋体"/>
      <w:b w:val="0"/>
      <w:bCs w:val="0"/>
      <w:sz w:val="28"/>
      <w:szCs w:val="28"/>
    </w:rPr>
  </w:style>
  <w:style w:type="paragraph" w:customStyle="1" w:styleId="152">
    <w:name w:val="样式 样式 标题 1 + 段前: 1 行 段后: 0.8 行 + 段前: 1.1 行 段后: 0.8 行"/>
    <w:basedOn w:val="1"/>
    <w:qFormat/>
    <w:uiPriority w:val="0"/>
    <w:pPr>
      <w:keepNext/>
      <w:tabs>
        <w:tab w:val="left" w:pos="1080"/>
      </w:tabs>
      <w:spacing w:beforeLines="110" w:afterLines="80" w:line="288" w:lineRule="auto"/>
      <w:ind w:left="1080" w:hanging="1080"/>
      <w:outlineLvl w:val="0"/>
    </w:pPr>
    <w:rPr>
      <w:rFonts w:eastAsia="仿宋_GB2312" w:cs="宋体"/>
      <w:b/>
      <w:bCs/>
      <w:kern w:val="28"/>
      <w:sz w:val="28"/>
      <w:szCs w:val="28"/>
    </w:rPr>
  </w:style>
  <w:style w:type="paragraph" w:customStyle="1" w:styleId="153">
    <w:name w:val="样式 纯文本 + (符号) 宋体"/>
    <w:basedOn w:val="32"/>
    <w:qFormat/>
    <w:uiPriority w:val="0"/>
    <w:pPr>
      <w:tabs>
        <w:tab w:val="left" w:pos="7380"/>
      </w:tabs>
      <w:adjustRightInd w:val="0"/>
      <w:snapToGrid w:val="0"/>
      <w:ind w:firstLine="523" w:firstLineChars="218"/>
    </w:pPr>
    <w:rPr>
      <w:sz w:val="24"/>
      <w:szCs w:val="30"/>
    </w:rPr>
  </w:style>
  <w:style w:type="character" w:customStyle="1" w:styleId="154">
    <w:name w:val="样式 宋体1"/>
    <w:qFormat/>
    <w:uiPriority w:val="0"/>
    <w:rPr>
      <w:rFonts w:ascii="宋体" w:hAnsi="宋体" w:eastAsia="宋体"/>
      <w:sz w:val="24"/>
    </w:rPr>
  </w:style>
  <w:style w:type="paragraph" w:customStyle="1" w:styleId="155">
    <w:name w:val="样式 标题 2 + 宋体 段前: 1 行 段后: 1 行"/>
    <w:basedOn w:val="3"/>
    <w:qFormat/>
    <w:uiPriority w:val="0"/>
    <w:pPr>
      <w:adjustRightInd w:val="0"/>
      <w:snapToGrid w:val="0"/>
    </w:pPr>
    <w:rPr>
      <w:rFonts w:ascii="宋体" w:hAnsi="宋体" w:cs="宋体"/>
      <w:sz w:val="30"/>
      <w:szCs w:val="20"/>
    </w:rPr>
  </w:style>
  <w:style w:type="paragraph" w:customStyle="1" w:styleId="156">
    <w:name w:val="样式 标题 3 + 宋体"/>
    <w:basedOn w:val="4"/>
    <w:qFormat/>
    <w:uiPriority w:val="0"/>
    <w:pPr>
      <w:adjustRightInd w:val="0"/>
      <w:snapToGrid w:val="0"/>
      <w:spacing w:before="50" w:afterLines="50" w:line="240" w:lineRule="auto"/>
      <w:ind w:firstLine="200" w:firstLineChars="14"/>
    </w:pPr>
    <w:rPr>
      <w:rFonts w:ascii="宋体" w:hAnsi="宋体"/>
      <w:sz w:val="24"/>
    </w:rPr>
  </w:style>
  <w:style w:type="paragraph" w:customStyle="1" w:styleId="157">
    <w:name w:val="样式 表格 + (符号) 宋体"/>
    <w:basedOn w:val="96"/>
    <w:qFormat/>
    <w:uiPriority w:val="0"/>
    <w:pPr>
      <w:adjustRightInd w:val="0"/>
      <w:snapToGrid w:val="0"/>
      <w:jc w:val="both"/>
      <w:textAlignment w:val="auto"/>
    </w:pPr>
    <w:rPr>
      <w:rFonts w:ascii="宋体" w:hAnsi="Courier New" w:cs="Courier New"/>
      <w:kern w:val="2"/>
      <w:szCs w:val="21"/>
    </w:rPr>
  </w:style>
  <w:style w:type="paragraph" w:customStyle="1" w:styleId="158">
    <w:name w:val="样式 标题 1 + 宋体"/>
    <w:basedOn w:val="2"/>
    <w:qFormat/>
    <w:uiPriority w:val="0"/>
    <w:pPr>
      <w:adjustRightInd w:val="0"/>
      <w:snapToGrid w:val="0"/>
      <w:spacing w:beforeLines="100" w:afterLines="100" w:line="240" w:lineRule="auto"/>
    </w:pPr>
    <w:rPr>
      <w:rFonts w:ascii="宋体" w:hAnsi="宋体"/>
      <w:sz w:val="32"/>
    </w:rPr>
  </w:style>
  <w:style w:type="paragraph" w:customStyle="1" w:styleId="159">
    <w:name w:val="样式 样式 纯文本 + 仿宋_GB2312 四号 行距: 固定值 22 磅 + 宋体"/>
    <w:basedOn w:val="1"/>
    <w:qFormat/>
    <w:uiPriority w:val="0"/>
    <w:pPr>
      <w:adjustRightInd w:val="0"/>
      <w:snapToGrid w:val="0"/>
      <w:spacing w:beforeLines="50" w:after="100"/>
      <w:ind w:left="241"/>
    </w:pPr>
    <w:rPr>
      <w:rFonts w:ascii="宋体" w:hAnsi="宋体"/>
      <w:bCs/>
      <w:color w:val="000000"/>
      <w:szCs w:val="48"/>
    </w:rPr>
  </w:style>
  <w:style w:type="paragraph" w:customStyle="1" w:styleId="160">
    <w:name w:val="正文0"/>
    <w:basedOn w:val="1"/>
    <w:link w:val="161"/>
    <w:qFormat/>
    <w:uiPriority w:val="0"/>
    <w:pPr>
      <w:spacing w:beforeLines="50" w:afterLines="50" w:line="312" w:lineRule="auto"/>
      <w:ind w:firstLine="200" w:firstLineChars="200"/>
      <w:jc w:val="left"/>
    </w:pPr>
    <w:rPr>
      <w:rFonts w:eastAsia="仿宋_GB2312"/>
      <w:kern w:val="0"/>
      <w:sz w:val="28"/>
    </w:rPr>
  </w:style>
  <w:style w:type="character" w:customStyle="1" w:styleId="161">
    <w:name w:val="正文0 Char"/>
    <w:link w:val="160"/>
    <w:qFormat/>
    <w:uiPriority w:val="0"/>
    <w:rPr>
      <w:rFonts w:ascii="Times New Roman" w:hAnsi="Times New Roman" w:eastAsia="仿宋_GB2312" w:cs="Times New Roman"/>
      <w:sz w:val="28"/>
      <w:szCs w:val="24"/>
    </w:rPr>
  </w:style>
  <w:style w:type="paragraph" w:customStyle="1" w:styleId="162">
    <w:name w:val="样式 标题 2Pierre_1.1_Heading 2 + 段前: 0.5 行 段后: 0.5 行"/>
    <w:basedOn w:val="3"/>
    <w:qFormat/>
    <w:uiPriority w:val="0"/>
    <w:pPr>
      <w:spacing w:beforeLines="50" w:afterLines="50" w:line="312" w:lineRule="auto"/>
    </w:pPr>
    <w:rPr>
      <w:rFonts w:ascii="Times New Roman" w:hAnsi="Times New Roman" w:eastAsia="仿宋_GB2312" w:cs="宋体"/>
      <w:sz w:val="28"/>
      <w:szCs w:val="20"/>
    </w:rPr>
  </w:style>
  <w:style w:type="paragraph" w:customStyle="1" w:styleId="163">
    <w:name w:val="样式 标题 3Pierre_1.1.1 + 段前: 0.5 行 段后: 0.5 行"/>
    <w:basedOn w:val="4"/>
    <w:qFormat/>
    <w:uiPriority w:val="0"/>
    <w:pPr>
      <w:spacing w:beforeLines="50" w:afterLines="50" w:line="312" w:lineRule="auto"/>
    </w:pPr>
    <w:rPr>
      <w:rFonts w:eastAsia="仿宋_GB2312" w:cs="宋体"/>
      <w:sz w:val="28"/>
      <w:szCs w:val="20"/>
    </w:rPr>
  </w:style>
  <w:style w:type="character" w:customStyle="1" w:styleId="164">
    <w:name w:val="middle1"/>
    <w:qFormat/>
    <w:uiPriority w:val="0"/>
    <w:rPr>
      <w:rFonts w:hint="default"/>
      <w:spacing w:val="285"/>
      <w:sz w:val="21"/>
      <w:szCs w:val="21"/>
    </w:rPr>
  </w:style>
  <w:style w:type="paragraph" w:customStyle="1" w:styleId="165">
    <w:name w:val="Char Char Char Char Char Char Char 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6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67">
    <w:name w:val="p0"/>
    <w:basedOn w:val="1"/>
    <w:qFormat/>
    <w:uiPriority w:val="0"/>
    <w:pPr>
      <w:widowControl/>
    </w:pPr>
    <w:rPr>
      <w:kern w:val="0"/>
      <w:szCs w:val="21"/>
    </w:rPr>
  </w:style>
  <w:style w:type="character" w:customStyle="1" w:styleId="168">
    <w:name w:val="Char Char19"/>
    <w:qFormat/>
    <w:locked/>
    <w:uiPriority w:val="0"/>
    <w:rPr>
      <w:rFonts w:ascii="Arial" w:hAnsi="Arial" w:eastAsia="黑体"/>
      <w:b/>
      <w:bCs/>
      <w:kern w:val="2"/>
      <w:sz w:val="28"/>
      <w:szCs w:val="28"/>
      <w:lang w:val="en-US" w:eastAsia="zh-CN" w:bidi="ar-SA"/>
    </w:rPr>
  </w:style>
  <w:style w:type="character" w:customStyle="1" w:styleId="169">
    <w:name w:val="Char Char18"/>
    <w:qFormat/>
    <w:locked/>
    <w:uiPriority w:val="0"/>
    <w:rPr>
      <w:rFonts w:eastAsia="宋体"/>
      <w:b/>
      <w:sz w:val="28"/>
      <w:lang w:val="en-US" w:eastAsia="zh-CN" w:bidi="ar-SA"/>
    </w:rPr>
  </w:style>
  <w:style w:type="character" w:customStyle="1" w:styleId="170">
    <w:name w:val="Char Char17"/>
    <w:qFormat/>
    <w:locked/>
    <w:uiPriority w:val="0"/>
    <w:rPr>
      <w:rFonts w:ascii="Arial" w:hAnsi="Arial" w:eastAsia="黑体"/>
      <w:b/>
      <w:bCs/>
      <w:sz w:val="24"/>
      <w:szCs w:val="24"/>
      <w:lang w:val="en-US" w:eastAsia="zh-CN" w:bidi="ar-SA"/>
    </w:rPr>
  </w:style>
  <w:style w:type="character" w:customStyle="1" w:styleId="171">
    <w:name w:val="Char Char16"/>
    <w:qFormat/>
    <w:locked/>
    <w:uiPriority w:val="0"/>
    <w:rPr>
      <w:rFonts w:eastAsia="宋体"/>
      <w:b/>
      <w:bCs/>
      <w:sz w:val="24"/>
      <w:szCs w:val="24"/>
      <w:lang w:val="en-US" w:eastAsia="zh-CN" w:bidi="ar-SA"/>
    </w:rPr>
  </w:style>
  <w:style w:type="character" w:customStyle="1" w:styleId="172">
    <w:name w:val="Char Char15"/>
    <w:qFormat/>
    <w:locked/>
    <w:uiPriority w:val="0"/>
    <w:rPr>
      <w:rFonts w:ascii="Arial" w:hAnsi="Arial" w:eastAsia="黑体"/>
      <w:sz w:val="24"/>
      <w:szCs w:val="24"/>
      <w:lang w:val="en-US" w:eastAsia="zh-CN" w:bidi="ar-SA"/>
    </w:rPr>
  </w:style>
  <w:style w:type="character" w:customStyle="1" w:styleId="173">
    <w:name w:val="Char Char14"/>
    <w:qFormat/>
    <w:locked/>
    <w:uiPriority w:val="0"/>
    <w:rPr>
      <w:rFonts w:ascii="Arial" w:hAnsi="Arial" w:eastAsia="黑体"/>
      <w:sz w:val="21"/>
      <w:szCs w:val="21"/>
      <w:lang w:val="en-US" w:eastAsia="zh-CN" w:bidi="ar-SA"/>
    </w:rPr>
  </w:style>
  <w:style w:type="character" w:customStyle="1" w:styleId="174">
    <w:name w:val="Char Char10"/>
    <w:qFormat/>
    <w:locked/>
    <w:uiPriority w:val="0"/>
    <w:rPr>
      <w:rFonts w:ascii="宋体" w:hAnsi="宋体" w:eastAsia="宋体"/>
      <w:kern w:val="2"/>
      <w:sz w:val="21"/>
      <w:szCs w:val="24"/>
      <w:lang w:val="en-US" w:eastAsia="zh-CN" w:bidi="ar-SA"/>
    </w:rPr>
  </w:style>
  <w:style w:type="character" w:customStyle="1" w:styleId="175">
    <w:name w:val="Char Char13"/>
    <w:qFormat/>
    <w:locked/>
    <w:uiPriority w:val="0"/>
    <w:rPr>
      <w:rFonts w:ascii="宋体" w:hAnsi="宋体" w:eastAsia="宋体"/>
      <w:sz w:val="18"/>
      <w:szCs w:val="18"/>
      <w:lang w:bidi="ar-SA"/>
    </w:rPr>
  </w:style>
  <w:style w:type="character" w:customStyle="1" w:styleId="176">
    <w:name w:val="Char Char12"/>
    <w:qFormat/>
    <w:locked/>
    <w:uiPriority w:val="0"/>
    <w:rPr>
      <w:rFonts w:ascii="宋体" w:hAnsi="宋体" w:eastAsia="宋体"/>
      <w:sz w:val="18"/>
      <w:szCs w:val="18"/>
      <w:lang w:bidi="ar-SA"/>
    </w:rPr>
  </w:style>
  <w:style w:type="character" w:customStyle="1" w:styleId="177">
    <w:name w:val="Char Char9"/>
    <w:qFormat/>
    <w:locked/>
    <w:uiPriority w:val="0"/>
    <w:rPr>
      <w:rFonts w:ascii="Arial" w:hAnsi="Arial" w:eastAsia="宋体" w:cs="Arial"/>
      <w:b/>
      <w:sz w:val="32"/>
      <w:lang w:bidi="ar-SA"/>
    </w:rPr>
  </w:style>
  <w:style w:type="character" w:customStyle="1" w:styleId="178">
    <w:name w:val="Char Char7"/>
    <w:qFormat/>
    <w:locked/>
    <w:uiPriority w:val="0"/>
    <w:rPr>
      <w:rFonts w:ascii="宋体" w:hAnsi="宋体" w:eastAsia="宋体"/>
      <w:sz w:val="24"/>
      <w:lang w:bidi="ar-SA"/>
    </w:rPr>
  </w:style>
  <w:style w:type="character" w:customStyle="1" w:styleId="179">
    <w:name w:val="Char Char3"/>
    <w:qFormat/>
    <w:locked/>
    <w:uiPriority w:val="0"/>
    <w:rPr>
      <w:rFonts w:ascii="宋体" w:hAnsi="宋体" w:eastAsia="宋体"/>
      <w:szCs w:val="24"/>
      <w:lang w:bidi="ar-SA"/>
    </w:rPr>
  </w:style>
  <w:style w:type="character" w:customStyle="1" w:styleId="180">
    <w:name w:val="Char Char11"/>
    <w:qFormat/>
    <w:locked/>
    <w:uiPriority w:val="0"/>
    <w:rPr>
      <w:rFonts w:ascii="宋体" w:hAnsi="宋体" w:eastAsia="宋体"/>
      <w:sz w:val="24"/>
      <w:lang w:bidi="ar-SA"/>
    </w:rPr>
  </w:style>
  <w:style w:type="character" w:customStyle="1" w:styleId="181">
    <w:name w:val="Char Char4"/>
    <w:qFormat/>
    <w:locked/>
    <w:uiPriority w:val="0"/>
    <w:rPr>
      <w:rFonts w:ascii="宋体" w:hAnsi="宋体" w:eastAsia="宋体"/>
      <w:szCs w:val="24"/>
      <w:lang w:bidi="ar-SA"/>
    </w:rPr>
  </w:style>
  <w:style w:type="character" w:customStyle="1" w:styleId="182">
    <w:name w:val="Char Char8"/>
    <w:qFormat/>
    <w:locked/>
    <w:uiPriority w:val="0"/>
    <w:rPr>
      <w:rFonts w:ascii="宋体" w:hAnsi="宋体" w:eastAsia="宋体"/>
      <w:sz w:val="16"/>
      <w:szCs w:val="16"/>
      <w:lang w:bidi="ar-SA"/>
    </w:rPr>
  </w:style>
  <w:style w:type="character" w:customStyle="1" w:styleId="183">
    <w:name w:val="Char Char5"/>
    <w:qFormat/>
    <w:locked/>
    <w:uiPriority w:val="0"/>
    <w:rPr>
      <w:rFonts w:ascii="宋体" w:hAnsi="宋体" w:eastAsia="宋体"/>
      <w:szCs w:val="24"/>
      <w:shd w:val="clear" w:color="auto" w:fill="000080"/>
      <w:lang w:bidi="ar-SA"/>
    </w:rPr>
  </w:style>
  <w:style w:type="character" w:customStyle="1" w:styleId="184">
    <w:name w:val="Char Char2"/>
    <w:qFormat/>
    <w:locked/>
    <w:uiPriority w:val="0"/>
    <w:rPr>
      <w:rFonts w:ascii="宋体" w:hAnsi="宋体" w:eastAsia="宋体"/>
      <w:b/>
      <w:bCs/>
      <w:kern w:val="2"/>
      <w:sz w:val="21"/>
      <w:szCs w:val="24"/>
      <w:lang w:val="en-US" w:eastAsia="zh-CN" w:bidi="ar-SA"/>
    </w:rPr>
  </w:style>
  <w:style w:type="character" w:customStyle="1" w:styleId="185">
    <w:name w:val="Char Char6"/>
    <w:qFormat/>
    <w:locked/>
    <w:uiPriority w:val="0"/>
    <w:rPr>
      <w:rFonts w:ascii="宋体" w:hAnsi="宋体" w:eastAsia="宋体"/>
      <w:sz w:val="18"/>
      <w:szCs w:val="18"/>
      <w:lang w:bidi="ar-SA"/>
    </w:rPr>
  </w:style>
  <w:style w:type="character" w:customStyle="1" w:styleId="186">
    <w:name w:val="hps"/>
    <w:basedOn w:val="62"/>
    <w:qFormat/>
    <w:uiPriority w:val="0"/>
  </w:style>
  <w:style w:type="character" w:customStyle="1" w:styleId="187">
    <w:name w:val="st1"/>
    <w:basedOn w:val="62"/>
    <w:qFormat/>
    <w:uiPriority w:val="0"/>
  </w:style>
  <w:style w:type="paragraph" w:customStyle="1" w:styleId="188">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189">
    <w:name w:val="Indent 2"/>
    <w:basedOn w:val="1"/>
    <w:qFormat/>
    <w:uiPriority w:val="0"/>
    <w:pPr>
      <w:widowControl/>
      <w:ind w:left="1134" w:hanging="567"/>
    </w:pPr>
    <w:rPr>
      <w:kern w:val="0"/>
      <w:sz w:val="20"/>
      <w:szCs w:val="20"/>
      <w:lang w:val="en-GB" w:eastAsia="en-US"/>
    </w:rPr>
  </w:style>
  <w:style w:type="paragraph" w:customStyle="1" w:styleId="1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1">
    <w:name w:val="样式3"/>
    <w:basedOn w:val="1"/>
    <w:qFormat/>
    <w:uiPriority w:val="0"/>
    <w:pPr>
      <w:numPr>
        <w:ilvl w:val="0"/>
        <w:numId w:val="1"/>
      </w:numPr>
      <w:jc w:val="left"/>
    </w:pPr>
  </w:style>
  <w:style w:type="paragraph" w:customStyle="1" w:styleId="192">
    <w:name w:val="样式5"/>
    <w:basedOn w:val="1"/>
    <w:qFormat/>
    <w:uiPriority w:val="0"/>
    <w:pPr>
      <w:snapToGrid w:val="0"/>
      <w:outlineLvl w:val="1"/>
    </w:pPr>
    <w:rPr>
      <w:rFonts w:ascii="宋体" w:hAnsi="宋体"/>
      <w:b/>
      <w:color w:val="000000"/>
      <w:szCs w:val="21"/>
    </w:rPr>
  </w:style>
  <w:style w:type="paragraph" w:customStyle="1" w:styleId="193">
    <w:name w:val="Char Char Char Char"/>
    <w:basedOn w:val="1"/>
    <w:qFormat/>
    <w:uiPriority w:val="0"/>
  </w:style>
  <w:style w:type="paragraph" w:customStyle="1" w:styleId="194">
    <w:name w:val="样式 首行缩进:  2 字符"/>
    <w:basedOn w:val="1"/>
    <w:qFormat/>
    <w:uiPriority w:val="0"/>
    <w:pPr>
      <w:ind w:firstLine="600" w:firstLineChars="200"/>
    </w:pPr>
    <w:rPr>
      <w:rFonts w:cs="宋体"/>
      <w:sz w:val="28"/>
      <w:szCs w:val="20"/>
    </w:rPr>
  </w:style>
  <w:style w:type="paragraph" w:customStyle="1" w:styleId="195">
    <w:name w:val="Char Char Char Char Char Char"/>
    <w:basedOn w:val="1"/>
    <w:qFormat/>
    <w:uiPriority w:val="0"/>
    <w:pPr>
      <w:widowControl/>
      <w:spacing w:after="160" w:line="240" w:lineRule="exact"/>
      <w:ind w:firstLine="602" w:firstLineChars="250"/>
      <w:jc w:val="center"/>
    </w:pPr>
    <w:rPr>
      <w:szCs w:val="20"/>
    </w:rPr>
  </w:style>
  <w:style w:type="paragraph" w:customStyle="1" w:styleId="196">
    <w:name w:val="CM1"/>
    <w:basedOn w:val="190"/>
    <w:next w:val="190"/>
    <w:qFormat/>
    <w:uiPriority w:val="0"/>
    <w:pPr>
      <w:spacing w:line="316" w:lineRule="atLeast"/>
    </w:pPr>
    <w:rPr>
      <w:rFonts w:ascii="..ì." w:eastAsia="..ì." w:cs="Times New Roman"/>
      <w:color w:val="auto"/>
    </w:rPr>
  </w:style>
  <w:style w:type="paragraph" w:customStyle="1" w:styleId="197">
    <w:name w:val="CM6"/>
    <w:basedOn w:val="190"/>
    <w:next w:val="190"/>
    <w:qFormat/>
    <w:uiPriority w:val="0"/>
    <w:pPr>
      <w:spacing w:after="300"/>
    </w:pPr>
    <w:rPr>
      <w:rFonts w:ascii="..ì." w:eastAsia="..ì." w:cs="Times New Roman"/>
      <w:color w:val="auto"/>
    </w:rPr>
  </w:style>
  <w:style w:type="paragraph" w:customStyle="1" w:styleId="198">
    <w:name w:val="CM7"/>
    <w:basedOn w:val="190"/>
    <w:next w:val="190"/>
    <w:qFormat/>
    <w:uiPriority w:val="0"/>
    <w:pPr>
      <w:spacing w:after="930"/>
    </w:pPr>
    <w:rPr>
      <w:rFonts w:ascii="..ì." w:eastAsia="..ì." w:cs="Times New Roman"/>
      <w:color w:val="auto"/>
    </w:rPr>
  </w:style>
  <w:style w:type="character" w:customStyle="1" w:styleId="199">
    <w:name w:val="t_xl1"/>
    <w:qFormat/>
    <w:uiPriority w:val="0"/>
    <w:rPr>
      <w:sz w:val="41"/>
      <w:szCs w:val="41"/>
    </w:rPr>
  </w:style>
  <w:style w:type="paragraph" w:customStyle="1" w:styleId="200">
    <w:name w:val="样式 样式 标题 1 + 三号 蓝色 + 自动设置"/>
    <w:basedOn w:val="1"/>
    <w:qFormat/>
    <w:uiPriority w:val="0"/>
    <w:pPr>
      <w:keepNext/>
      <w:keepLines/>
      <w:spacing w:line="480" w:lineRule="auto"/>
      <w:outlineLvl w:val="0"/>
    </w:pPr>
    <w:rPr>
      <w:b/>
      <w:bCs/>
      <w:kern w:val="44"/>
      <w:sz w:val="30"/>
      <w:szCs w:val="44"/>
    </w:rPr>
  </w:style>
  <w:style w:type="paragraph" w:customStyle="1" w:styleId="201">
    <w:name w:val="样式 标题 3 + 四号 蓝色 行距: 1.5 倍行距"/>
    <w:basedOn w:val="4"/>
    <w:next w:val="39"/>
    <w:qFormat/>
    <w:uiPriority w:val="0"/>
    <w:pPr>
      <w:spacing w:before="0" w:after="0" w:line="360" w:lineRule="auto"/>
    </w:pPr>
    <w:rPr>
      <w:rFonts w:cs="宋体"/>
      <w:color w:val="0000FF"/>
      <w:kern w:val="2"/>
      <w:sz w:val="28"/>
      <w:szCs w:val="20"/>
    </w:rPr>
  </w:style>
  <w:style w:type="character" w:customStyle="1" w:styleId="202">
    <w:name w:val="样式 标题 3 + 四号 Char"/>
    <w:qFormat/>
    <w:uiPriority w:val="0"/>
    <w:rPr>
      <w:rFonts w:eastAsia="宋体"/>
      <w:b/>
      <w:bCs/>
      <w:kern w:val="2"/>
      <w:sz w:val="28"/>
      <w:szCs w:val="32"/>
      <w:lang w:val="en-US" w:eastAsia="zh-CN" w:bidi="ar-SA"/>
    </w:rPr>
  </w:style>
  <w:style w:type="character" w:customStyle="1" w:styleId="203">
    <w:name w:val="正文缩进 Char1"/>
    <w:link w:val="15"/>
    <w:qFormat/>
    <w:uiPriority w:val="0"/>
    <w:rPr>
      <w:rFonts w:eastAsia="宋体"/>
      <w:kern w:val="2"/>
      <w:sz w:val="21"/>
      <w:szCs w:val="24"/>
      <w:lang w:val="en-US" w:eastAsia="zh-CN" w:bidi="ar-SA"/>
    </w:rPr>
  </w:style>
  <w:style w:type="paragraph" w:customStyle="1" w:styleId="204">
    <w:name w:val="一级条标题"/>
    <w:next w:val="205"/>
    <w:qFormat/>
    <w:uiPriority w:val="0"/>
    <w:pPr>
      <w:widowControl w:val="0"/>
      <w:spacing w:line="440" w:lineRule="exact"/>
      <w:ind w:left="826"/>
      <w:outlineLvl w:val="1"/>
    </w:pPr>
    <w:rPr>
      <w:rFonts w:ascii="宋体" w:hAnsi="Times New Roman" w:eastAsia="宋体" w:cs="Times New Roman"/>
      <w:sz w:val="24"/>
      <w:lang w:val="en-US" w:eastAsia="zh-CN" w:bidi="ar-SA"/>
    </w:rPr>
  </w:style>
  <w:style w:type="paragraph" w:customStyle="1" w:styleId="205">
    <w:name w:val="二级条"/>
    <w:next w:val="5"/>
    <w:qFormat/>
    <w:uiPriority w:val="0"/>
    <w:pPr>
      <w:widowControl w:val="0"/>
      <w:spacing w:line="440" w:lineRule="exact"/>
    </w:pPr>
    <w:rPr>
      <w:rFonts w:ascii="宋体" w:hAnsi="Times New Roman" w:eastAsia="宋体" w:cs="Times New Roman"/>
      <w:sz w:val="24"/>
      <w:lang w:val="en-US" w:eastAsia="zh-CN" w:bidi="ar-SA"/>
    </w:rPr>
  </w:style>
  <w:style w:type="paragraph" w:customStyle="1" w:styleId="206">
    <w:name w:val="列项——（一级）"/>
    <w:basedOn w:val="5"/>
    <w:next w:val="5"/>
    <w:qFormat/>
    <w:uiPriority w:val="0"/>
    <w:pPr>
      <w:keepNext w:val="0"/>
      <w:keepLines w:val="0"/>
      <w:spacing w:before="0" w:after="0" w:line="440" w:lineRule="exact"/>
      <w:ind w:left="450" w:leftChars="200" w:hanging="250" w:hangingChars="250"/>
      <w:jc w:val="left"/>
      <w:outlineLvl w:val="9"/>
    </w:pPr>
    <w:rPr>
      <w:rFonts w:eastAsia="宋体"/>
      <w:b w:val="0"/>
      <w:bCs w:val="0"/>
      <w:szCs w:val="20"/>
    </w:rPr>
  </w:style>
  <w:style w:type="paragraph" w:customStyle="1" w:styleId="207">
    <w:name w:val="附录一级条"/>
    <w:next w:val="5"/>
    <w:qFormat/>
    <w:uiPriority w:val="0"/>
    <w:pPr>
      <w:spacing w:line="440" w:lineRule="exact"/>
    </w:pPr>
    <w:rPr>
      <w:rFonts w:ascii="宋体" w:hAnsi="Times New Roman" w:eastAsia="宋体" w:cs="Times New Roman"/>
      <w:sz w:val="24"/>
      <w:lang w:val="en-US" w:eastAsia="zh-CN" w:bidi="ar-SA"/>
    </w:rPr>
  </w:style>
  <w:style w:type="paragraph" w:customStyle="1" w:styleId="208">
    <w:name w:val="样式 样式 首行缩进:  2 字符 + 首行缩进:  2 字符"/>
    <w:basedOn w:val="1"/>
    <w:qFormat/>
    <w:uiPriority w:val="0"/>
    <w:rPr>
      <w:rFonts w:cs="宋体"/>
    </w:rPr>
  </w:style>
  <w:style w:type="paragraph" w:customStyle="1" w:styleId="209">
    <w:name w:val="样式 小四 行距: 固定值 24 磅 左  8 字符"/>
    <w:basedOn w:val="1"/>
    <w:qFormat/>
    <w:uiPriority w:val="0"/>
    <w:pPr>
      <w:spacing w:line="480" w:lineRule="exact"/>
      <w:ind w:left="1470" w:leftChars="100" w:right="100" w:rightChars="100"/>
    </w:pPr>
    <w:rPr>
      <w:rFonts w:cs="宋体"/>
      <w:szCs w:val="20"/>
    </w:rPr>
  </w:style>
  <w:style w:type="paragraph" w:customStyle="1" w:styleId="210">
    <w:name w:val="样式6"/>
    <w:basedOn w:val="1"/>
    <w:qFormat/>
    <w:uiPriority w:val="0"/>
    <w:pPr>
      <w:snapToGrid w:val="0"/>
    </w:pPr>
  </w:style>
  <w:style w:type="character" w:customStyle="1" w:styleId="211">
    <w:name w:val="样式 标题 3 + (中文) 黑体 小四 非加粗 段前: 7.8 磅 段后: 0 磅 行距: 固定值 20 磅 Char"/>
    <w:link w:val="84"/>
    <w:qFormat/>
    <w:uiPriority w:val="0"/>
    <w:rPr>
      <w:rFonts w:ascii="Times New Roman" w:hAnsi="Times New Roman" w:eastAsia="黑体" w:cs="宋体"/>
      <w:b/>
      <w:bCs/>
      <w:sz w:val="24"/>
      <w:szCs w:val="32"/>
      <w:lang w:bidi="ar-SA"/>
    </w:rPr>
  </w:style>
  <w:style w:type="paragraph" w:customStyle="1" w:styleId="212">
    <w:name w:val="Char13"/>
    <w:basedOn w:val="1"/>
    <w:qFormat/>
    <w:uiPriority w:val="0"/>
    <w:pPr>
      <w:widowControl/>
      <w:spacing w:after="160" w:line="240" w:lineRule="exact"/>
      <w:jc w:val="left"/>
    </w:pPr>
    <w:rPr>
      <w:rFonts w:ascii="Verdana" w:hAnsi="Verdana"/>
      <w:kern w:val="0"/>
      <w:sz w:val="20"/>
      <w:szCs w:val="20"/>
      <w:lang w:eastAsia="en-US"/>
    </w:rPr>
  </w:style>
  <w:style w:type="character" w:customStyle="1" w:styleId="213">
    <w:name w:val="xl29 Char"/>
    <w:link w:val="112"/>
    <w:qFormat/>
    <w:locked/>
    <w:uiPriority w:val="0"/>
    <w:rPr>
      <w:rFonts w:ascii="宋体" w:hAnsi="宋体"/>
      <w:sz w:val="24"/>
    </w:rPr>
  </w:style>
  <w:style w:type="character" w:customStyle="1" w:styleId="214">
    <w:name w:val="普通文字 Char Char Char2"/>
    <w:semiHidden/>
    <w:qFormat/>
    <w:locked/>
    <w:uiPriority w:val="0"/>
    <w:rPr>
      <w:rFonts w:ascii="宋体" w:hAnsi="Courier New"/>
      <w:kern w:val="2"/>
      <w:sz w:val="21"/>
      <w:szCs w:val="21"/>
    </w:rPr>
  </w:style>
  <w:style w:type="paragraph" w:customStyle="1" w:styleId="215">
    <w:name w:val="Char12"/>
    <w:basedOn w:val="1"/>
    <w:qFormat/>
    <w:uiPriority w:val="0"/>
    <w:pPr>
      <w:widowControl/>
      <w:spacing w:after="160" w:line="240" w:lineRule="exact"/>
      <w:jc w:val="left"/>
    </w:pPr>
    <w:rPr>
      <w:rFonts w:ascii="Verdana" w:hAnsi="Verdana"/>
      <w:kern w:val="0"/>
      <w:sz w:val="20"/>
      <w:szCs w:val="20"/>
      <w:lang w:eastAsia="en-US"/>
    </w:rPr>
  </w:style>
  <w:style w:type="character" w:customStyle="1" w:styleId="216">
    <w:name w:val="HTML 预设格式 Char"/>
    <w:link w:val="54"/>
    <w:qFormat/>
    <w:uiPriority w:val="99"/>
    <w:rPr>
      <w:rFonts w:ascii="Arial" w:hAnsi="Arial" w:cs="Arial"/>
      <w:sz w:val="24"/>
      <w:szCs w:val="24"/>
    </w:rPr>
  </w:style>
  <w:style w:type="character" w:customStyle="1" w:styleId="217">
    <w:name w:val="bigfont"/>
    <w:basedOn w:val="62"/>
    <w:qFormat/>
    <w:uiPriority w:val="0"/>
  </w:style>
  <w:style w:type="paragraph" w:customStyle="1" w:styleId="218">
    <w:name w:val="Char Char Char Char Char Char1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19">
    <w:name w:val="7-1主题词"/>
    <w:basedOn w:val="1"/>
    <w:qFormat/>
    <w:uiPriority w:val="0"/>
    <w:pPr>
      <w:adjustRightInd w:val="0"/>
      <w:snapToGrid w:val="0"/>
      <w:spacing w:line="540" w:lineRule="exact"/>
    </w:pPr>
    <w:rPr>
      <w:rFonts w:ascii="黑体" w:eastAsia="黑体"/>
      <w:b/>
      <w:spacing w:val="-4"/>
      <w:sz w:val="32"/>
      <w:szCs w:val="32"/>
    </w:rPr>
  </w:style>
  <w:style w:type="character" w:customStyle="1" w:styleId="220">
    <w:name w:val="普通文字 Char Char1"/>
    <w:qFormat/>
    <w:uiPriority w:val="99"/>
    <w:rPr>
      <w:rFonts w:ascii="宋体" w:hAnsi="Courier New" w:eastAsia="宋体" w:cs="Times New Roman"/>
      <w:szCs w:val="21"/>
    </w:rPr>
  </w:style>
  <w:style w:type="character" w:customStyle="1" w:styleId="221">
    <w:name w:val="xl29 Char Char"/>
    <w:qFormat/>
    <w:uiPriority w:val="0"/>
    <w:rPr>
      <w:rFonts w:ascii="宋体" w:hAnsi="宋体"/>
      <w:sz w:val="24"/>
    </w:rPr>
  </w:style>
  <w:style w:type="paragraph" w:customStyle="1" w:styleId="222">
    <w:name w:val="普通 (Web)"/>
    <w:basedOn w:val="1"/>
    <w:qFormat/>
    <w:uiPriority w:val="0"/>
    <w:pPr>
      <w:widowControl/>
      <w:spacing w:before="100" w:beforeAutospacing="1" w:after="100" w:afterAutospacing="1"/>
      <w:jc w:val="left"/>
    </w:pPr>
    <w:rPr>
      <w:rFonts w:ascii="宋体" w:hAnsi="宋体"/>
      <w:kern w:val="0"/>
    </w:rPr>
  </w:style>
  <w:style w:type="paragraph" w:customStyle="1" w:styleId="223">
    <w:name w:val="Char Char Char1 Char"/>
    <w:basedOn w:val="1"/>
    <w:qFormat/>
    <w:uiPriority w:val="0"/>
  </w:style>
  <w:style w:type="paragraph" w:customStyle="1" w:styleId="224">
    <w:name w:val="六级标题样式"/>
    <w:basedOn w:val="1"/>
    <w:qFormat/>
    <w:uiPriority w:val="0"/>
    <w:pPr>
      <w:ind w:firstLine="482" w:firstLineChars="200"/>
      <w:jc w:val="left"/>
      <w:outlineLvl w:val="5"/>
    </w:pPr>
    <w:rPr>
      <w:color w:val="5F497A"/>
      <w:kern w:val="0"/>
    </w:rPr>
  </w:style>
  <w:style w:type="character" w:customStyle="1" w:styleId="225">
    <w:name w:val="标题 1 Char1"/>
    <w:qFormat/>
    <w:uiPriority w:val="0"/>
    <w:rPr>
      <w:rFonts w:ascii="Times New Roman" w:hAnsi="Times New Roman" w:eastAsia="宋体" w:cs="Times New Roman"/>
      <w:b/>
      <w:bCs/>
      <w:kern w:val="44"/>
      <w:sz w:val="44"/>
      <w:szCs w:val="44"/>
    </w:rPr>
  </w:style>
  <w:style w:type="character" w:customStyle="1" w:styleId="226">
    <w:name w:val="尾注文本 Char"/>
    <w:link w:val="37"/>
    <w:semiHidden/>
    <w:qFormat/>
    <w:uiPriority w:val="0"/>
    <w:rPr>
      <w:rFonts w:ascii="Arial" w:hAnsi="Arial" w:eastAsia="MS Mincho"/>
      <w:sz w:val="18"/>
      <w:lang w:val="en-GB" w:eastAsia="ja-JP"/>
    </w:rPr>
  </w:style>
  <w:style w:type="paragraph" w:customStyle="1" w:styleId="227">
    <w:name w:val="列出段落1"/>
    <w:basedOn w:val="1"/>
    <w:qFormat/>
    <w:uiPriority w:val="34"/>
    <w:pPr>
      <w:ind w:firstLine="420" w:firstLineChars="200"/>
    </w:pPr>
  </w:style>
  <w:style w:type="character" w:customStyle="1" w:styleId="228">
    <w:name w:val="Footer1 Char Char"/>
    <w:qFormat/>
    <w:uiPriority w:val="0"/>
    <w:rPr>
      <w:rFonts w:hint="eastAsia" w:ascii="宋体" w:hAnsi="宋体" w:eastAsia="宋体" w:cs="宋体"/>
      <w:kern w:val="2"/>
      <w:sz w:val="18"/>
      <w:szCs w:val="18"/>
      <w:lang w:val="en-US" w:eastAsia="zh-CN" w:bidi="ar-SA"/>
    </w:rPr>
  </w:style>
  <w:style w:type="character" w:customStyle="1" w:styleId="229">
    <w:name w:val="title011"/>
    <w:qFormat/>
    <w:uiPriority w:val="0"/>
    <w:rPr>
      <w:color w:val="000066"/>
      <w:sz w:val="36"/>
      <w:szCs w:val="36"/>
      <w:u w:val="none"/>
    </w:rPr>
  </w:style>
  <w:style w:type="character" w:customStyle="1" w:styleId="230">
    <w:name w:val="t"/>
    <w:basedOn w:val="62"/>
    <w:qFormat/>
    <w:uiPriority w:val="0"/>
  </w:style>
  <w:style w:type="character" w:customStyle="1" w:styleId="231">
    <w:name w:val="样式 标题 1 + Char"/>
    <w:qFormat/>
    <w:uiPriority w:val="0"/>
    <w:rPr>
      <w:rFonts w:hint="eastAsia" w:ascii="宋体" w:hAnsi="宋体" w:cs="宋体"/>
      <w:b/>
      <w:iCs/>
      <w:snapToGrid w:val="0"/>
      <w:color w:val="000000"/>
      <w:spacing w:val="-4"/>
      <w:kern w:val="44"/>
      <w:sz w:val="21"/>
      <w:szCs w:val="21"/>
      <w:lang w:val="en-US" w:eastAsia="zh-CN" w:bidi="ar-SA"/>
    </w:rPr>
  </w:style>
  <w:style w:type="character" w:customStyle="1" w:styleId="232">
    <w:name w:val="unnamed11"/>
    <w:qFormat/>
    <w:uiPriority w:val="0"/>
    <w:rPr>
      <w:rFonts w:hint="eastAsia" w:ascii="宋体" w:hAnsi="宋体" w:eastAsia="宋体" w:cs="宋体"/>
      <w:sz w:val="18"/>
      <w:szCs w:val="18"/>
    </w:rPr>
  </w:style>
  <w:style w:type="character" w:customStyle="1" w:styleId="233">
    <w:name w:val="Footer Char"/>
    <w:qFormat/>
    <w:uiPriority w:val="0"/>
    <w:rPr>
      <w:rFonts w:hint="default" w:ascii="Times New Roman" w:hAnsi="Times New Roman" w:cs="Times New Roman"/>
      <w:sz w:val="18"/>
      <w:szCs w:val="18"/>
    </w:rPr>
  </w:style>
  <w:style w:type="character" w:customStyle="1" w:styleId="234">
    <w:name w:val="页眉 Char1"/>
    <w:qFormat/>
    <w:uiPriority w:val="0"/>
    <w:rPr>
      <w:rFonts w:hint="eastAsia" w:ascii="宋体" w:hAnsi="宋体" w:eastAsia="宋体" w:cs="宋体"/>
      <w:kern w:val="2"/>
      <w:sz w:val="18"/>
      <w:lang w:val="en-US" w:eastAsia="zh-CN" w:bidi="ar-SA"/>
    </w:rPr>
  </w:style>
  <w:style w:type="character" w:customStyle="1" w:styleId="235">
    <w:name w:val="dz1"/>
    <w:qFormat/>
    <w:uiPriority w:val="0"/>
    <w:rPr>
      <w:rFonts w:hint="eastAsia" w:ascii="宋体" w:hAnsi="宋体" w:eastAsia="宋体" w:cs="宋体"/>
      <w:sz w:val="30"/>
      <w:szCs w:val="30"/>
    </w:rPr>
  </w:style>
  <w:style w:type="character" w:customStyle="1" w:styleId="236">
    <w:name w:val="f241"/>
    <w:qFormat/>
    <w:uiPriority w:val="0"/>
    <w:rPr>
      <w:sz w:val="36"/>
      <w:szCs w:val="36"/>
    </w:rPr>
  </w:style>
  <w:style w:type="character" w:customStyle="1" w:styleId="237">
    <w:name w:val="body141"/>
    <w:qFormat/>
    <w:uiPriority w:val="0"/>
    <w:rPr>
      <w:sz w:val="21"/>
      <w:szCs w:val="21"/>
    </w:rPr>
  </w:style>
  <w:style w:type="character" w:customStyle="1" w:styleId="238">
    <w:name w:val="Header Char"/>
    <w:qFormat/>
    <w:uiPriority w:val="0"/>
    <w:rPr>
      <w:rFonts w:hint="default" w:ascii="Times New Roman" w:hAnsi="Times New Roman" w:cs="Times New Roman"/>
      <w:sz w:val="18"/>
      <w:szCs w:val="18"/>
    </w:rPr>
  </w:style>
  <w:style w:type="character" w:customStyle="1" w:styleId="239">
    <w:name w:val="标题3 Char"/>
    <w:qFormat/>
    <w:uiPriority w:val="0"/>
    <w:rPr>
      <w:rFonts w:hint="eastAsia" w:ascii="宋体" w:hAnsi="宋体" w:eastAsia="宋体" w:cs="宋体"/>
      <w:b/>
      <w:iCs/>
      <w:snapToGrid w:val="0"/>
      <w:spacing w:val="-4"/>
      <w:kern w:val="44"/>
      <w:sz w:val="24"/>
      <w:szCs w:val="24"/>
      <w:lang w:val="en-US" w:eastAsia="zh-CN" w:bidi="ar-SA"/>
    </w:rPr>
  </w:style>
  <w:style w:type="paragraph" w:customStyle="1" w:styleId="240">
    <w:name w:val="正文 编号"/>
    <w:basedOn w:val="1"/>
    <w:qFormat/>
    <w:uiPriority w:val="0"/>
    <w:pPr>
      <w:tabs>
        <w:tab w:val="left" w:pos="993"/>
      </w:tabs>
    </w:pPr>
  </w:style>
  <w:style w:type="character" w:customStyle="1" w:styleId="241">
    <w:name w:val="Footer1 Char Char1"/>
    <w:qFormat/>
    <w:uiPriority w:val="0"/>
    <w:rPr>
      <w:sz w:val="18"/>
      <w:szCs w:val="18"/>
    </w:rPr>
  </w:style>
  <w:style w:type="character" w:customStyle="1" w:styleId="242">
    <w:name w:val="段 Char1"/>
    <w:qFormat/>
    <w:uiPriority w:val="0"/>
    <w:rPr>
      <w:rFonts w:ascii="Arial" w:hAnsi="Arial" w:eastAsia="黑体" w:cs="Times New Roman"/>
      <w:b/>
      <w:bCs/>
      <w:kern w:val="0"/>
      <w:sz w:val="28"/>
      <w:szCs w:val="28"/>
    </w:rPr>
  </w:style>
  <w:style w:type="character" w:customStyle="1" w:styleId="243">
    <w:name w:val="Char Char25"/>
    <w:uiPriority w:val="0"/>
    <w:rPr>
      <w:rFonts w:ascii="Times New Roman" w:hAnsi="Times New Roman" w:eastAsia="宋体" w:cs="Times New Roman"/>
      <w:b/>
      <w:kern w:val="0"/>
      <w:sz w:val="28"/>
      <w:szCs w:val="20"/>
    </w:rPr>
  </w:style>
  <w:style w:type="character" w:customStyle="1" w:styleId="244">
    <w:name w:val="Char Char24"/>
    <w:qFormat/>
    <w:uiPriority w:val="0"/>
    <w:rPr>
      <w:rFonts w:ascii="Arial" w:hAnsi="Arial" w:eastAsia="黑体" w:cs="Times New Roman"/>
      <w:b/>
      <w:bCs/>
      <w:kern w:val="0"/>
      <w:sz w:val="24"/>
      <w:szCs w:val="24"/>
    </w:rPr>
  </w:style>
  <w:style w:type="character" w:customStyle="1" w:styleId="245">
    <w:name w:val="Char Char23"/>
    <w:qFormat/>
    <w:uiPriority w:val="0"/>
    <w:rPr>
      <w:rFonts w:ascii="Times New Roman" w:hAnsi="Times New Roman" w:eastAsia="宋体" w:cs="Times New Roman"/>
      <w:b/>
      <w:bCs/>
      <w:kern w:val="0"/>
      <w:sz w:val="24"/>
      <w:szCs w:val="24"/>
    </w:rPr>
  </w:style>
  <w:style w:type="character" w:customStyle="1" w:styleId="246">
    <w:name w:val="Char Char22"/>
    <w:qFormat/>
    <w:uiPriority w:val="0"/>
    <w:rPr>
      <w:rFonts w:ascii="Arial" w:hAnsi="Arial" w:eastAsia="黑体" w:cs="Times New Roman"/>
      <w:kern w:val="0"/>
      <w:sz w:val="24"/>
      <w:szCs w:val="24"/>
    </w:rPr>
  </w:style>
  <w:style w:type="character" w:customStyle="1" w:styleId="247">
    <w:name w:val="批注文字 Char1"/>
    <w:semiHidden/>
    <w:qFormat/>
    <w:uiPriority w:val="0"/>
    <w:rPr>
      <w:rFonts w:ascii="Times New Roman" w:hAnsi="Times New Roman" w:eastAsia="宋体" w:cs="Times New Roman"/>
      <w:szCs w:val="24"/>
    </w:rPr>
  </w:style>
  <w:style w:type="character" w:customStyle="1" w:styleId="248">
    <w:name w:val="批注框文本 Char1"/>
    <w:semiHidden/>
    <w:qFormat/>
    <w:uiPriority w:val="0"/>
    <w:rPr>
      <w:rFonts w:ascii="Times New Roman" w:hAnsi="Times New Roman" w:eastAsia="宋体" w:cs="Times New Roman"/>
      <w:sz w:val="18"/>
      <w:szCs w:val="18"/>
    </w:rPr>
  </w:style>
  <w:style w:type="character" w:customStyle="1" w:styleId="249">
    <w:name w:val="文档结构图 Char1"/>
    <w:semiHidden/>
    <w:qFormat/>
    <w:uiPriority w:val="0"/>
    <w:rPr>
      <w:rFonts w:ascii="宋体" w:hAnsi="Times New Roman" w:eastAsia="宋体" w:cs="Times New Roman"/>
      <w:sz w:val="18"/>
      <w:szCs w:val="18"/>
    </w:rPr>
  </w:style>
  <w:style w:type="character" w:customStyle="1" w:styleId="250">
    <w:name w:val="段 Char"/>
    <w:qFormat/>
    <w:uiPriority w:val="0"/>
    <w:rPr>
      <w:rFonts w:ascii="宋体"/>
      <w:b/>
      <w:sz w:val="28"/>
    </w:rPr>
  </w:style>
  <w:style w:type="character" w:customStyle="1" w:styleId="251">
    <w:name w:val="ITTBODYTEXT Char Char"/>
    <w:qFormat/>
    <w:uiPriority w:val="0"/>
    <w:rPr>
      <w:rFonts w:ascii="宋体" w:eastAsia="宋体"/>
      <w:b/>
      <w:sz w:val="21"/>
      <w:lang w:val="en-US" w:eastAsia="zh-CN" w:bidi="ar-SA"/>
    </w:rPr>
  </w:style>
  <w:style w:type="paragraph" w:customStyle="1" w:styleId="252">
    <w:name w:val="font6"/>
    <w:basedOn w:val="1"/>
    <w:qFormat/>
    <w:uiPriority w:val="0"/>
    <w:pPr>
      <w:widowControl/>
      <w:spacing w:before="100" w:beforeAutospacing="1" w:after="100" w:afterAutospacing="1"/>
      <w:jc w:val="left"/>
    </w:pPr>
    <w:rPr>
      <w:kern w:val="0"/>
    </w:rPr>
  </w:style>
  <w:style w:type="paragraph" w:customStyle="1" w:styleId="25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rPr>
  </w:style>
  <w:style w:type="paragraph" w:customStyle="1" w:styleId="25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rPr>
  </w:style>
  <w:style w:type="paragraph" w:customStyle="1" w:styleId="255">
    <w:name w:val="HTML Bottom of Form"/>
    <w:basedOn w:val="1"/>
    <w:next w:val="1"/>
    <w:hidden/>
    <w:qFormat/>
    <w:uiPriority w:val="0"/>
    <w:pPr>
      <w:pBdr>
        <w:top w:val="single" w:color="auto" w:sz="6" w:space="1"/>
      </w:pBdr>
      <w:jc w:val="center"/>
    </w:pPr>
    <w:rPr>
      <w:rFonts w:ascii="Arial" w:hAnsi="Arial" w:cs="Arial"/>
      <w:vanish/>
      <w:sz w:val="16"/>
      <w:szCs w:val="16"/>
    </w:rPr>
  </w:style>
  <w:style w:type="paragraph" w:customStyle="1" w:styleId="256">
    <w:name w:val="HTML Top of Form"/>
    <w:basedOn w:val="1"/>
    <w:next w:val="1"/>
    <w:hidden/>
    <w:qFormat/>
    <w:uiPriority w:val="0"/>
    <w:pPr>
      <w:pBdr>
        <w:bottom w:val="single" w:color="auto" w:sz="6" w:space="1"/>
      </w:pBdr>
      <w:jc w:val="center"/>
    </w:pPr>
    <w:rPr>
      <w:rFonts w:ascii="Arial" w:hAnsi="Arial" w:cs="Arial"/>
      <w:vanish/>
      <w:sz w:val="16"/>
      <w:szCs w:val="16"/>
    </w:rPr>
  </w:style>
  <w:style w:type="paragraph" w:customStyle="1" w:styleId="257">
    <w:name w:val="Definition Term"/>
    <w:basedOn w:val="1"/>
    <w:next w:val="258"/>
    <w:qFormat/>
    <w:uiPriority w:val="0"/>
    <w:pPr>
      <w:autoSpaceDE w:val="0"/>
      <w:autoSpaceDN w:val="0"/>
      <w:adjustRightInd w:val="0"/>
      <w:jc w:val="left"/>
    </w:pPr>
    <w:rPr>
      <w:kern w:val="0"/>
      <w:sz w:val="18"/>
      <w:szCs w:val="20"/>
    </w:rPr>
  </w:style>
  <w:style w:type="paragraph" w:customStyle="1" w:styleId="258">
    <w:name w:val="Definition List"/>
    <w:basedOn w:val="1"/>
    <w:next w:val="257"/>
    <w:qFormat/>
    <w:uiPriority w:val="0"/>
    <w:pPr>
      <w:autoSpaceDE w:val="0"/>
      <w:autoSpaceDN w:val="0"/>
      <w:adjustRightInd w:val="0"/>
      <w:ind w:left="360"/>
      <w:jc w:val="left"/>
    </w:pPr>
    <w:rPr>
      <w:kern w:val="0"/>
      <w:sz w:val="18"/>
      <w:szCs w:val="20"/>
    </w:rPr>
  </w:style>
  <w:style w:type="paragraph" w:customStyle="1" w:styleId="259">
    <w:name w:val="H1"/>
    <w:basedOn w:val="1"/>
    <w:next w:val="1"/>
    <w:qFormat/>
    <w:uiPriority w:val="0"/>
    <w:pPr>
      <w:keepNext/>
      <w:autoSpaceDE w:val="0"/>
      <w:autoSpaceDN w:val="0"/>
      <w:adjustRightInd w:val="0"/>
      <w:spacing w:before="100" w:after="100"/>
      <w:jc w:val="left"/>
      <w:outlineLvl w:val="1"/>
    </w:pPr>
    <w:rPr>
      <w:b/>
      <w:kern w:val="36"/>
      <w:sz w:val="48"/>
      <w:szCs w:val="20"/>
    </w:rPr>
  </w:style>
  <w:style w:type="paragraph" w:customStyle="1" w:styleId="260">
    <w:name w:val="H4"/>
    <w:basedOn w:val="1"/>
    <w:next w:val="1"/>
    <w:qFormat/>
    <w:uiPriority w:val="0"/>
    <w:pPr>
      <w:keepNext/>
      <w:autoSpaceDE w:val="0"/>
      <w:autoSpaceDN w:val="0"/>
      <w:adjustRightInd w:val="0"/>
      <w:spacing w:before="100" w:after="100"/>
      <w:jc w:val="left"/>
      <w:outlineLvl w:val="4"/>
    </w:pPr>
    <w:rPr>
      <w:b/>
      <w:kern w:val="0"/>
      <w:sz w:val="18"/>
      <w:szCs w:val="20"/>
    </w:rPr>
  </w:style>
  <w:style w:type="paragraph" w:customStyle="1" w:styleId="261">
    <w:name w:val="H5"/>
    <w:basedOn w:val="1"/>
    <w:next w:val="1"/>
    <w:qFormat/>
    <w:uiPriority w:val="0"/>
    <w:pPr>
      <w:keepNext/>
      <w:autoSpaceDE w:val="0"/>
      <w:autoSpaceDN w:val="0"/>
      <w:adjustRightInd w:val="0"/>
      <w:spacing w:before="100" w:after="100"/>
      <w:jc w:val="left"/>
      <w:outlineLvl w:val="5"/>
    </w:pPr>
    <w:rPr>
      <w:b/>
      <w:kern w:val="0"/>
      <w:sz w:val="20"/>
      <w:szCs w:val="20"/>
    </w:rPr>
  </w:style>
  <w:style w:type="paragraph" w:customStyle="1" w:styleId="262">
    <w:name w:val="H6"/>
    <w:basedOn w:val="1"/>
    <w:next w:val="1"/>
    <w:qFormat/>
    <w:uiPriority w:val="0"/>
    <w:pPr>
      <w:keepNext/>
      <w:autoSpaceDE w:val="0"/>
      <w:autoSpaceDN w:val="0"/>
      <w:adjustRightInd w:val="0"/>
      <w:spacing w:before="100" w:after="100"/>
      <w:jc w:val="left"/>
      <w:outlineLvl w:val="6"/>
    </w:pPr>
    <w:rPr>
      <w:b/>
      <w:kern w:val="0"/>
      <w:sz w:val="16"/>
      <w:szCs w:val="20"/>
    </w:rPr>
  </w:style>
  <w:style w:type="paragraph" w:customStyle="1" w:styleId="263">
    <w:name w:val="Address"/>
    <w:basedOn w:val="1"/>
    <w:next w:val="1"/>
    <w:qFormat/>
    <w:uiPriority w:val="0"/>
    <w:pPr>
      <w:autoSpaceDE w:val="0"/>
      <w:autoSpaceDN w:val="0"/>
      <w:adjustRightInd w:val="0"/>
      <w:jc w:val="left"/>
    </w:pPr>
    <w:rPr>
      <w:i/>
      <w:kern w:val="0"/>
      <w:sz w:val="18"/>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66">
    <w:name w:val="xl31"/>
    <w:basedOn w:val="1"/>
    <w:qFormat/>
    <w:uiPriority w:val="0"/>
    <w:pPr>
      <w:widowControl/>
      <w:spacing w:before="100" w:beforeAutospacing="1" w:after="100" w:afterAutospacing="1"/>
      <w:jc w:val="left"/>
      <w:textAlignment w:val="center"/>
    </w:pPr>
    <w:rPr>
      <w:rFonts w:ascii="宋体" w:hAnsi="宋体"/>
      <w:kern w:val="0"/>
      <w:sz w:val="18"/>
      <w:szCs w:val="18"/>
    </w:rPr>
  </w:style>
  <w:style w:type="paragraph" w:customStyle="1" w:styleId="267">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8">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9">
    <w:name w:val="p4"/>
    <w:basedOn w:val="1"/>
    <w:qFormat/>
    <w:uiPriority w:val="0"/>
    <w:pPr>
      <w:tabs>
        <w:tab w:val="left" w:pos="780"/>
      </w:tabs>
      <w:spacing w:line="280" w:lineRule="atLeast"/>
      <w:ind w:left="660"/>
    </w:pPr>
    <w:rPr>
      <w:rFonts w:eastAsia="Times New Roman"/>
      <w:snapToGrid w:val="0"/>
      <w:kern w:val="0"/>
      <w:szCs w:val="20"/>
      <w:lang w:eastAsia="en-US"/>
    </w:rPr>
  </w:style>
  <w:style w:type="paragraph" w:customStyle="1" w:styleId="270">
    <w:name w:val="p5"/>
    <w:basedOn w:val="1"/>
    <w:qFormat/>
    <w:uiPriority w:val="0"/>
    <w:pPr>
      <w:tabs>
        <w:tab w:val="left" w:pos="1080"/>
      </w:tabs>
      <w:spacing w:line="280" w:lineRule="atLeast"/>
      <w:ind w:left="288" w:hanging="432"/>
    </w:pPr>
    <w:rPr>
      <w:rFonts w:eastAsia="Times New Roman"/>
      <w:snapToGrid w:val="0"/>
      <w:kern w:val="0"/>
      <w:szCs w:val="20"/>
      <w:lang w:eastAsia="en-US"/>
    </w:rPr>
  </w:style>
  <w:style w:type="paragraph" w:customStyle="1" w:styleId="271">
    <w:name w:val="p11"/>
    <w:basedOn w:val="1"/>
    <w:qFormat/>
    <w:uiPriority w:val="0"/>
    <w:pPr>
      <w:tabs>
        <w:tab w:val="left" w:pos="1620"/>
        <w:tab w:val="left" w:pos="1940"/>
      </w:tabs>
      <w:spacing w:line="280" w:lineRule="atLeast"/>
      <w:ind w:left="432" w:hanging="288"/>
      <w:jc w:val="left"/>
    </w:pPr>
    <w:rPr>
      <w:rFonts w:eastAsia="Times New Roman"/>
      <w:snapToGrid w:val="0"/>
      <w:kern w:val="0"/>
      <w:szCs w:val="20"/>
      <w:lang w:eastAsia="en-US"/>
    </w:rPr>
  </w:style>
  <w:style w:type="paragraph" w:customStyle="1" w:styleId="272">
    <w:name w:val="font7"/>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273">
    <w:name w:val="font8"/>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274">
    <w:name w:val="font9"/>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275">
    <w:name w:val="font10"/>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276">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color w:val="000000"/>
      <w:kern w:val="0"/>
      <w:sz w:val="20"/>
      <w:szCs w:val="20"/>
    </w:rPr>
  </w:style>
  <w:style w:type="paragraph" w:customStyle="1" w:styleId="277">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278">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color w:val="000000"/>
      <w:kern w:val="0"/>
      <w:sz w:val="20"/>
      <w:szCs w:val="20"/>
    </w:rPr>
  </w:style>
  <w:style w:type="paragraph" w:customStyle="1" w:styleId="279">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color w:val="000000"/>
      <w:kern w:val="0"/>
      <w:sz w:val="20"/>
      <w:szCs w:val="20"/>
    </w:rPr>
  </w:style>
  <w:style w:type="paragraph" w:customStyle="1" w:styleId="28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8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282">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283">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b/>
      <w:bCs/>
      <w:color w:val="000000"/>
      <w:kern w:val="0"/>
      <w:sz w:val="20"/>
      <w:szCs w:val="20"/>
    </w:rPr>
  </w:style>
  <w:style w:type="paragraph" w:customStyle="1" w:styleId="284">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285">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bCs/>
      <w:color w:val="000000"/>
      <w:kern w:val="0"/>
      <w:sz w:val="20"/>
      <w:szCs w:val="20"/>
    </w:rPr>
  </w:style>
  <w:style w:type="paragraph" w:customStyle="1" w:styleId="286">
    <w:name w:val="xl48"/>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287">
    <w:name w:val="xl49"/>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288">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289">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290">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color w:val="000000"/>
      <w:kern w:val="0"/>
      <w:sz w:val="20"/>
      <w:szCs w:val="20"/>
    </w:rPr>
  </w:style>
  <w:style w:type="paragraph" w:customStyle="1" w:styleId="291">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292">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color w:val="000000"/>
      <w:kern w:val="0"/>
      <w:sz w:val="12"/>
      <w:szCs w:val="12"/>
    </w:rPr>
  </w:style>
  <w:style w:type="paragraph" w:customStyle="1" w:styleId="293">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color w:val="000000"/>
      <w:kern w:val="0"/>
      <w:sz w:val="20"/>
      <w:szCs w:val="20"/>
    </w:rPr>
  </w:style>
  <w:style w:type="paragraph" w:customStyle="1" w:styleId="294">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rPr>
  </w:style>
  <w:style w:type="paragraph" w:customStyle="1" w:styleId="295">
    <w:name w:val="xl5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rPr>
  </w:style>
  <w:style w:type="paragraph" w:customStyle="1" w:styleId="296">
    <w:name w:val="xl5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color w:val="000000"/>
      <w:kern w:val="0"/>
    </w:rPr>
  </w:style>
  <w:style w:type="paragraph" w:customStyle="1" w:styleId="297">
    <w:name w:val="xl5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98">
    <w:name w:val="xl60"/>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99">
    <w:name w:val="xl61"/>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00">
    <w:name w:val="xl62"/>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01">
    <w:name w:val="xl63"/>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32"/>
      <w:szCs w:val="32"/>
    </w:rPr>
  </w:style>
  <w:style w:type="paragraph" w:customStyle="1" w:styleId="302">
    <w:name w:val="xl64"/>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b/>
      <w:bCs/>
      <w:color w:val="000000"/>
      <w:kern w:val="0"/>
      <w:sz w:val="32"/>
      <w:szCs w:val="32"/>
    </w:rPr>
  </w:style>
  <w:style w:type="paragraph" w:customStyle="1" w:styleId="303">
    <w:name w:val="xl65"/>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04">
    <w:name w:val="xl6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05">
    <w:name w:val="xl67"/>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06">
    <w:name w:val="xl6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07">
    <w:name w:val="xl69"/>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08">
    <w:name w:val="Char6"/>
    <w:basedOn w:val="1"/>
    <w:qFormat/>
    <w:uiPriority w:val="0"/>
  </w:style>
  <w:style w:type="paragraph" w:customStyle="1" w:styleId="309">
    <w:name w:val="Char Char Char Char Char Char Char"/>
    <w:basedOn w:val="1"/>
    <w:qFormat/>
    <w:uiPriority w:val="0"/>
  </w:style>
  <w:style w:type="paragraph" w:customStyle="1" w:styleId="310">
    <w:name w:val="Char Char Char Char4"/>
    <w:basedOn w:val="1"/>
    <w:qFormat/>
    <w:uiPriority w:val="0"/>
    <w:pPr>
      <w:widowControl/>
      <w:spacing w:after="160" w:line="240" w:lineRule="exact"/>
      <w:ind w:left="652" w:firstLine="505"/>
      <w:jc w:val="left"/>
    </w:pPr>
    <w:rPr>
      <w:szCs w:val="20"/>
    </w:rPr>
  </w:style>
  <w:style w:type="paragraph" w:customStyle="1" w:styleId="311">
    <w:name w:val="样式一"/>
    <w:basedOn w:val="1"/>
    <w:qFormat/>
    <w:uiPriority w:val="0"/>
    <w:pPr>
      <w:autoSpaceDE w:val="0"/>
      <w:autoSpaceDN w:val="0"/>
      <w:adjustRightInd w:val="0"/>
      <w:ind w:firstLine="480" w:firstLineChars="200"/>
      <w:textAlignment w:val="baseline"/>
    </w:pPr>
    <w:rPr>
      <w:rFonts w:ascii="宋体" w:hAnsi="宋体"/>
      <w:kern w:val="0"/>
      <w:szCs w:val="20"/>
      <w:lang w:val="en-GB"/>
    </w:rPr>
  </w:style>
  <w:style w:type="paragraph" w:customStyle="1" w:styleId="312">
    <w:name w:val="标题2"/>
    <w:basedOn w:val="1"/>
    <w:next w:val="1"/>
    <w:link w:val="313"/>
    <w:qFormat/>
    <w:uiPriority w:val="0"/>
    <w:pPr>
      <w:spacing w:line="500" w:lineRule="atLeast"/>
      <w:ind w:firstLine="567"/>
      <w:jc w:val="center"/>
    </w:pPr>
    <w:rPr>
      <w:rFonts w:ascii="宋体" w:hAnsi="Calibri"/>
      <w:b/>
      <w:color w:val="000000"/>
      <w:szCs w:val="20"/>
    </w:rPr>
  </w:style>
  <w:style w:type="character" w:customStyle="1" w:styleId="313">
    <w:name w:val="标题2 Char"/>
    <w:link w:val="312"/>
    <w:qFormat/>
    <w:uiPriority w:val="0"/>
    <w:rPr>
      <w:rFonts w:ascii="宋体" w:eastAsia="宋体"/>
      <w:b/>
      <w:color w:val="000000"/>
      <w:kern w:val="2"/>
      <w:sz w:val="24"/>
      <w:lang w:val="en-US" w:eastAsia="zh-CN" w:bidi="ar-SA"/>
    </w:rPr>
  </w:style>
  <w:style w:type="character" w:customStyle="1" w:styleId="314">
    <w:name w:val="标题4 Char Char"/>
    <w:link w:val="315"/>
    <w:qFormat/>
    <w:uiPriority w:val="0"/>
    <w:rPr>
      <w:rFonts w:ascii="Arial" w:hAnsi="Arial"/>
      <w:b/>
      <w:bCs/>
      <w:sz w:val="24"/>
      <w:szCs w:val="32"/>
      <w:lang w:bidi="ar-SA"/>
    </w:rPr>
  </w:style>
  <w:style w:type="paragraph" w:customStyle="1" w:styleId="315">
    <w:name w:val="标题4"/>
    <w:basedOn w:val="3"/>
    <w:next w:val="29"/>
    <w:link w:val="314"/>
    <w:qFormat/>
    <w:uiPriority w:val="0"/>
    <w:pPr>
      <w:spacing w:line="413" w:lineRule="auto"/>
    </w:pPr>
  </w:style>
  <w:style w:type="character" w:customStyle="1" w:styleId="316">
    <w:name w:val="明显引用 Char"/>
    <w:link w:val="317"/>
    <w:qFormat/>
    <w:uiPriority w:val="0"/>
    <w:rPr>
      <w:b/>
      <w:bCs/>
      <w:i/>
      <w:iCs/>
      <w:color w:val="4F81BD"/>
      <w:kern w:val="2"/>
      <w:sz w:val="21"/>
      <w:szCs w:val="22"/>
      <w:lang w:bidi="ar-SA"/>
    </w:rPr>
  </w:style>
  <w:style w:type="paragraph" w:styleId="317">
    <w:name w:val="Intense Quote"/>
    <w:basedOn w:val="1"/>
    <w:next w:val="1"/>
    <w:link w:val="316"/>
    <w:qFormat/>
    <w:uiPriority w:val="0"/>
    <w:pPr>
      <w:pBdr>
        <w:bottom w:val="single" w:color="4F81BD" w:sz="4" w:space="4"/>
      </w:pBdr>
      <w:spacing w:before="200" w:after="280"/>
      <w:ind w:left="936" w:right="936"/>
    </w:pPr>
    <w:rPr>
      <w:rFonts w:ascii="Calibri" w:hAnsi="Calibri"/>
      <w:b/>
      <w:bCs/>
      <w:i/>
      <w:iCs/>
      <w:color w:val="4F81BD"/>
      <w:sz w:val="21"/>
      <w:szCs w:val="22"/>
    </w:rPr>
  </w:style>
  <w:style w:type="character" w:customStyle="1" w:styleId="318">
    <w:name w:val="Book Title"/>
    <w:qFormat/>
    <w:uiPriority w:val="0"/>
    <w:rPr>
      <w:b/>
      <w:bCs/>
      <w:smallCaps/>
      <w:spacing w:val="5"/>
    </w:rPr>
  </w:style>
  <w:style w:type="character" w:customStyle="1" w:styleId="319">
    <w:name w:val="Intense Emphasis"/>
    <w:qFormat/>
    <w:uiPriority w:val="0"/>
    <w:rPr>
      <w:b/>
      <w:bCs/>
      <w:i/>
      <w:iCs/>
      <w:color w:val="4F81BD"/>
    </w:rPr>
  </w:style>
  <w:style w:type="character" w:customStyle="1" w:styleId="320">
    <w:name w:val="标题5 Char Char"/>
    <w:link w:val="321"/>
    <w:qFormat/>
    <w:uiPriority w:val="0"/>
    <w:rPr>
      <w:rFonts w:ascii="Arial" w:hAnsi="Arial"/>
      <w:b/>
      <w:bCs/>
      <w:sz w:val="24"/>
      <w:szCs w:val="32"/>
      <w:lang w:bidi="ar-SA"/>
    </w:rPr>
  </w:style>
  <w:style w:type="paragraph" w:customStyle="1" w:styleId="321">
    <w:name w:val="标题5"/>
    <w:basedOn w:val="4"/>
    <w:link w:val="320"/>
    <w:qFormat/>
    <w:uiPriority w:val="0"/>
    <w:pPr>
      <w:spacing w:line="413" w:lineRule="auto"/>
    </w:pPr>
    <w:rPr>
      <w:rFonts w:ascii="Arial" w:hAnsi="Arial"/>
      <w:sz w:val="24"/>
    </w:rPr>
  </w:style>
  <w:style w:type="character" w:customStyle="1" w:styleId="322">
    <w:name w:val="textcontents"/>
    <w:qFormat/>
    <w:uiPriority w:val="0"/>
    <w:rPr>
      <w:rFonts w:cs="Times New Roman"/>
    </w:rPr>
  </w:style>
  <w:style w:type="character" w:customStyle="1" w:styleId="323">
    <w:name w:val="Subtle Emphasis"/>
    <w:qFormat/>
    <w:uiPriority w:val="0"/>
    <w:rPr>
      <w:i/>
      <w:iCs/>
      <w:color w:val="808080"/>
    </w:rPr>
  </w:style>
  <w:style w:type="character" w:customStyle="1" w:styleId="324">
    <w:name w:val="Subtle Reference"/>
    <w:qFormat/>
    <w:uiPriority w:val="0"/>
    <w:rPr>
      <w:smallCaps/>
      <w:color w:val="C0504D"/>
      <w:u w:val="single"/>
    </w:rPr>
  </w:style>
  <w:style w:type="character" w:customStyle="1" w:styleId="325">
    <w:name w:val="日期 Char1"/>
    <w:qFormat/>
    <w:uiPriority w:val="0"/>
    <w:rPr>
      <w:kern w:val="2"/>
      <w:sz w:val="21"/>
      <w:szCs w:val="22"/>
    </w:rPr>
  </w:style>
  <w:style w:type="character" w:customStyle="1" w:styleId="326">
    <w:name w:val="正文文本 Char1"/>
    <w:qFormat/>
    <w:uiPriority w:val="0"/>
    <w:rPr>
      <w:kern w:val="2"/>
      <w:sz w:val="21"/>
      <w:szCs w:val="22"/>
    </w:rPr>
  </w:style>
  <w:style w:type="character" w:customStyle="1" w:styleId="327">
    <w:name w:val="批注主题 Char1"/>
    <w:qFormat/>
    <w:uiPriority w:val="0"/>
    <w:rPr>
      <w:b/>
      <w:bCs/>
      <w:kern w:val="2"/>
      <w:sz w:val="21"/>
      <w:szCs w:val="22"/>
    </w:rPr>
  </w:style>
  <w:style w:type="character" w:customStyle="1" w:styleId="328">
    <w:name w:val="批注文字 Char Char"/>
    <w:qFormat/>
    <w:uiPriority w:val="0"/>
    <w:rPr>
      <w:rFonts w:ascii="宋体" w:hAnsi="Times New Roman" w:eastAsia="宋体" w:cs="Times New Roman"/>
      <w:sz w:val="28"/>
      <w:szCs w:val="20"/>
    </w:rPr>
  </w:style>
  <w:style w:type="character" w:customStyle="1" w:styleId="329">
    <w:name w:val="Intense Reference"/>
    <w:qFormat/>
    <w:uiPriority w:val="0"/>
    <w:rPr>
      <w:b/>
      <w:bCs/>
      <w:smallCaps/>
      <w:color w:val="C0504D"/>
      <w:spacing w:val="5"/>
      <w:u w:val="single"/>
    </w:rPr>
  </w:style>
  <w:style w:type="character" w:customStyle="1" w:styleId="330">
    <w:name w:val="引用 Char"/>
    <w:link w:val="331"/>
    <w:qFormat/>
    <w:uiPriority w:val="0"/>
    <w:rPr>
      <w:i/>
      <w:iCs/>
      <w:color w:val="000000"/>
      <w:kern w:val="2"/>
      <w:sz w:val="21"/>
      <w:szCs w:val="22"/>
      <w:lang w:bidi="ar-SA"/>
    </w:rPr>
  </w:style>
  <w:style w:type="paragraph" w:styleId="331">
    <w:name w:val="Quote"/>
    <w:basedOn w:val="1"/>
    <w:next w:val="1"/>
    <w:link w:val="330"/>
    <w:qFormat/>
    <w:uiPriority w:val="0"/>
    <w:rPr>
      <w:rFonts w:ascii="Calibri" w:hAnsi="Calibri"/>
      <w:i/>
      <w:iCs/>
      <w:color w:val="000000"/>
      <w:sz w:val="21"/>
      <w:szCs w:val="22"/>
    </w:rPr>
  </w:style>
  <w:style w:type="paragraph" w:styleId="332">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3">
    <w:name w:val="明显引用 Char1"/>
    <w:qFormat/>
    <w:uiPriority w:val="0"/>
    <w:rPr>
      <w:b/>
      <w:bCs/>
      <w:i/>
      <w:iCs/>
      <w:color w:val="4F81BD"/>
      <w:kern w:val="2"/>
      <w:sz w:val="21"/>
    </w:rPr>
  </w:style>
  <w:style w:type="character" w:customStyle="1" w:styleId="334">
    <w:name w:val="引用 Char1"/>
    <w:qFormat/>
    <w:uiPriority w:val="0"/>
    <w:rPr>
      <w:i/>
      <w:iCs/>
      <w:color w:val="000000"/>
      <w:kern w:val="2"/>
      <w:sz w:val="21"/>
    </w:rPr>
  </w:style>
  <w:style w:type="paragraph" w:customStyle="1" w:styleId="33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3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337">
    <w:name w:val="TOC Heading"/>
    <w:basedOn w:val="2"/>
    <w:next w:val="1"/>
    <w:qFormat/>
    <w:uiPriority w:val="0"/>
    <w:pPr>
      <w:spacing w:line="576" w:lineRule="auto"/>
      <w:outlineLvl w:val="9"/>
    </w:pPr>
    <w:rPr>
      <w:rFonts w:ascii="Calibri" w:hAnsi="Calibri"/>
    </w:rPr>
  </w:style>
  <w:style w:type="character" w:customStyle="1" w:styleId="338">
    <w:name w:val="尾注文本 Char1"/>
    <w:qFormat/>
    <w:uiPriority w:val="0"/>
    <w:rPr>
      <w:kern w:val="2"/>
      <w:sz w:val="21"/>
    </w:rPr>
  </w:style>
  <w:style w:type="paragraph" w:customStyle="1" w:styleId="339">
    <w:name w:val="Char17"/>
    <w:basedOn w:val="1"/>
    <w:qFormat/>
    <w:uiPriority w:val="0"/>
    <w:pPr>
      <w:widowControl/>
      <w:spacing w:after="160" w:line="240" w:lineRule="exact"/>
      <w:jc w:val="left"/>
    </w:pPr>
    <w:rPr>
      <w:rFonts w:ascii="Verdana" w:hAnsi="Verdana"/>
      <w:kern w:val="0"/>
      <w:sz w:val="20"/>
      <w:szCs w:val="20"/>
      <w:lang w:eastAsia="en-US"/>
    </w:rPr>
  </w:style>
  <w:style w:type="paragraph" w:customStyle="1" w:styleId="340">
    <w:name w:val="调研内容"/>
    <w:basedOn w:val="1"/>
    <w:qFormat/>
    <w:uiPriority w:val="0"/>
    <w:rPr>
      <w:szCs w:val="20"/>
    </w:rPr>
  </w:style>
  <w:style w:type="paragraph" w:customStyle="1" w:styleId="341">
    <w:name w:val="ALT  Normal"/>
    <w:basedOn w:val="1"/>
    <w:qFormat/>
    <w:uiPriority w:val="0"/>
    <w:pPr>
      <w:widowControl/>
      <w:spacing w:after="240"/>
      <w:jc w:val="left"/>
    </w:pPr>
    <w:rPr>
      <w:kern w:val="0"/>
      <w:sz w:val="22"/>
      <w:szCs w:val="20"/>
    </w:rPr>
  </w:style>
  <w:style w:type="paragraph" w:customStyle="1" w:styleId="342">
    <w:name w:val="样式 标题 4 + 黑色 首行缩进:  2 字符 行距: 1.5 倍行距 + 首行缩进:  2 字符 + 首行缩进:  2 字符"/>
    <w:basedOn w:val="1"/>
    <w:qFormat/>
    <w:uiPriority w:val="0"/>
    <w:pPr>
      <w:keepNext/>
      <w:keepLines/>
      <w:ind w:firstLine="200" w:firstLineChars="200"/>
      <w:outlineLvl w:val="3"/>
    </w:pPr>
    <w:rPr>
      <w:rFonts w:cs="宋体"/>
      <w:b/>
      <w:bCs/>
      <w:color w:val="000000"/>
      <w:spacing w:val="10"/>
      <w:sz w:val="28"/>
      <w:szCs w:val="20"/>
    </w:rPr>
  </w:style>
  <w:style w:type="character" w:customStyle="1" w:styleId="343">
    <w:name w:val="样式 标题 4 + 黑色 首行缩进:  2 字符 行距: 1.5 倍行距 + 首行缩进:  2 字符 + 首行缩进:  2 字符 Char"/>
    <w:qFormat/>
    <w:uiPriority w:val="0"/>
    <w:rPr>
      <w:rFonts w:eastAsia="宋体" w:cs="宋体"/>
      <w:b/>
      <w:bCs/>
      <w:color w:val="000000"/>
      <w:spacing w:val="10"/>
      <w:kern w:val="2"/>
      <w:sz w:val="28"/>
      <w:lang w:val="en-US" w:eastAsia="zh-CN" w:bidi="ar-SA"/>
    </w:rPr>
  </w:style>
  <w:style w:type="paragraph" w:customStyle="1" w:styleId="344">
    <w:name w:val="正文  基本样式"/>
    <w:basedOn w:val="1"/>
    <w:qFormat/>
    <w:uiPriority w:val="0"/>
    <w:pPr>
      <w:ind w:left="899" w:leftChars="428" w:firstLine="541"/>
    </w:pPr>
    <w:rPr>
      <w:rFonts w:cs="宋体"/>
      <w:kern w:val="0"/>
      <w:sz w:val="28"/>
      <w:szCs w:val="28"/>
    </w:rPr>
  </w:style>
  <w:style w:type="character" w:customStyle="1" w:styleId="345">
    <w:name w:val="正文  基本样式 Char Char"/>
    <w:qFormat/>
    <w:uiPriority w:val="0"/>
    <w:rPr>
      <w:rFonts w:eastAsia="宋体" w:cs="宋体"/>
      <w:sz w:val="28"/>
      <w:szCs w:val="28"/>
      <w:lang w:val="en-US" w:eastAsia="zh-CN" w:bidi="ar-SA"/>
    </w:rPr>
  </w:style>
  <w:style w:type="paragraph" w:customStyle="1" w:styleId="346">
    <w:name w:val="Dash 2 (Double)"/>
    <w:basedOn w:val="1"/>
    <w:qFormat/>
    <w:uiPriority w:val="0"/>
    <w:pPr>
      <w:widowControl/>
      <w:numPr>
        <w:ilvl w:val="0"/>
        <w:numId w:val="2"/>
      </w:numPr>
      <w:spacing w:after="240"/>
      <w:jc w:val="left"/>
    </w:pPr>
    <w:rPr>
      <w:rFonts w:ascii="Arial" w:hAnsi="Arial"/>
      <w:kern w:val="0"/>
      <w:sz w:val="20"/>
      <w:szCs w:val="20"/>
    </w:rPr>
  </w:style>
  <w:style w:type="paragraph" w:customStyle="1" w:styleId="347">
    <w:name w:val="Head 3.2"/>
    <w:basedOn w:val="1"/>
    <w:qFormat/>
    <w:uiPriority w:val="0"/>
    <w:pPr>
      <w:widowControl/>
      <w:suppressAutoHyphens/>
      <w:ind w:left="360" w:hanging="360"/>
      <w:jc w:val="left"/>
    </w:pPr>
    <w:rPr>
      <w:b/>
      <w:kern w:val="0"/>
      <w:szCs w:val="20"/>
      <w:lang w:val="fr-FR" w:eastAsia="en-US"/>
    </w:rPr>
  </w:style>
  <w:style w:type="paragraph" w:customStyle="1" w:styleId="348">
    <w:name w:val="N1"/>
    <w:basedOn w:val="1"/>
    <w:qFormat/>
    <w:uiPriority w:val="0"/>
    <w:pPr>
      <w:widowControl/>
      <w:numPr>
        <w:ilvl w:val="1"/>
        <w:numId w:val="3"/>
      </w:numPr>
      <w:spacing w:before="120" w:after="120"/>
      <w:jc w:val="left"/>
    </w:pPr>
    <w:rPr>
      <w:rFonts w:eastAsia="Times New Roman"/>
      <w:kern w:val="0"/>
      <w:sz w:val="20"/>
      <w:szCs w:val="20"/>
      <w:lang w:eastAsia="en-US"/>
    </w:rPr>
  </w:style>
  <w:style w:type="paragraph" w:customStyle="1" w:styleId="349">
    <w:name w:val="Non Heading 2"/>
    <w:basedOn w:val="3"/>
    <w:qFormat/>
    <w:uiPriority w:val="0"/>
    <w:pPr>
      <w:keepLines w:val="0"/>
      <w:widowControl/>
      <w:tabs>
        <w:tab w:val="left" w:pos="360"/>
      </w:tabs>
      <w:spacing w:before="60" w:after="120" w:line="240" w:lineRule="auto"/>
      <w:ind w:left="1080" w:hanging="360"/>
      <w:jc w:val="left"/>
      <w:outlineLvl w:val="9"/>
    </w:pPr>
    <w:rPr>
      <w:rFonts w:ascii="Times New Roman" w:hAnsi="Times New Roman"/>
      <w:b w:val="0"/>
      <w:bCs w:val="0"/>
      <w:szCs w:val="24"/>
    </w:rPr>
  </w:style>
  <w:style w:type="paragraph" w:customStyle="1" w:styleId="350">
    <w:name w:val="Non Heading 3"/>
    <w:basedOn w:val="4"/>
    <w:qFormat/>
    <w:uiPriority w:val="0"/>
    <w:pPr>
      <w:keepNext w:val="0"/>
      <w:keepLines w:val="0"/>
      <w:widowControl/>
      <w:tabs>
        <w:tab w:val="left" w:pos="360"/>
      </w:tabs>
      <w:spacing w:before="60" w:after="120" w:line="240" w:lineRule="auto"/>
      <w:ind w:left="720" w:hanging="720"/>
      <w:jc w:val="left"/>
      <w:outlineLvl w:val="9"/>
    </w:pPr>
    <w:rPr>
      <w:b w:val="0"/>
      <w:bCs w:val="0"/>
      <w:sz w:val="24"/>
      <w:szCs w:val="24"/>
    </w:rPr>
  </w:style>
  <w:style w:type="paragraph" w:customStyle="1" w:styleId="351">
    <w:name w:val="cenbold10pt"/>
    <w:basedOn w:val="1"/>
    <w:next w:val="1"/>
    <w:qFormat/>
    <w:uiPriority w:val="0"/>
    <w:pPr>
      <w:widowControl/>
      <w:suppressAutoHyphens/>
      <w:jc w:val="center"/>
    </w:pPr>
    <w:rPr>
      <w:rFonts w:ascii="Arial" w:hAnsi="Arial"/>
      <w:b/>
      <w:kern w:val="0"/>
      <w:sz w:val="20"/>
      <w:szCs w:val="20"/>
      <w:lang w:val="en-GB" w:eastAsia="en-US"/>
    </w:rPr>
  </w:style>
  <w:style w:type="paragraph" w:customStyle="1" w:styleId="352">
    <w:name w:val="cenbold12pt"/>
    <w:basedOn w:val="1"/>
    <w:next w:val="1"/>
    <w:qFormat/>
    <w:uiPriority w:val="0"/>
    <w:pPr>
      <w:widowControl/>
      <w:jc w:val="center"/>
    </w:pPr>
    <w:rPr>
      <w:rFonts w:ascii="Arial" w:hAnsi="Arial"/>
      <w:b/>
      <w:kern w:val="0"/>
      <w:szCs w:val="20"/>
      <w:lang w:val="en-GB" w:eastAsia="en-US"/>
    </w:rPr>
  </w:style>
  <w:style w:type="paragraph" w:customStyle="1" w:styleId="353">
    <w:name w:val="样式7"/>
    <w:basedOn w:val="41"/>
    <w:qFormat/>
    <w:uiPriority w:val="0"/>
    <w:pPr>
      <w:widowControl/>
      <w:tabs>
        <w:tab w:val="left" w:pos="-2420"/>
      </w:tabs>
      <w:autoSpaceDE w:val="0"/>
      <w:autoSpaceDN w:val="0"/>
      <w:snapToGrid w:val="0"/>
      <w:spacing w:line="288" w:lineRule="auto"/>
      <w:ind w:left="0" w:leftChars="0"/>
      <w:textAlignment w:val="bottom"/>
    </w:pPr>
    <w:rPr>
      <w:rFonts w:ascii="宋体" w:hAnsi="Arial Narrow"/>
      <w:color w:val="000000"/>
      <w:spacing w:val="-20"/>
      <w:szCs w:val="20"/>
    </w:rPr>
  </w:style>
  <w:style w:type="paragraph" w:customStyle="1" w:styleId="354">
    <w:name w:val="Text 2"/>
    <w:basedOn w:val="1"/>
    <w:qFormat/>
    <w:uiPriority w:val="0"/>
    <w:pPr>
      <w:widowControl/>
      <w:spacing w:after="240"/>
      <w:ind w:left="1418"/>
      <w:jc w:val="left"/>
    </w:pPr>
    <w:rPr>
      <w:rFonts w:ascii="Arial" w:hAnsi="Arial"/>
      <w:kern w:val="0"/>
      <w:sz w:val="20"/>
      <w:szCs w:val="20"/>
    </w:rPr>
  </w:style>
  <w:style w:type="paragraph" w:customStyle="1" w:styleId="355">
    <w:name w:val="表标题"/>
    <w:basedOn w:val="14"/>
    <w:qFormat/>
    <w:uiPriority w:val="0"/>
    <w:pPr>
      <w:tabs>
        <w:tab w:val="clear" w:pos="1680"/>
      </w:tabs>
      <w:autoSpaceDE w:val="0"/>
      <w:autoSpaceDN w:val="0"/>
      <w:adjustRightInd w:val="0"/>
      <w:ind w:left="0" w:firstLine="504" w:firstLineChars="210"/>
    </w:pPr>
    <w:rPr>
      <w:rFonts w:eastAsia="仿宋_GB2312"/>
      <w:color w:val="auto"/>
      <w:kern w:val="0"/>
    </w:rPr>
  </w:style>
  <w:style w:type="paragraph" w:customStyle="1" w:styleId="356">
    <w:name w:val="条的编号标题（机动处）"/>
    <w:basedOn w:val="1"/>
    <w:qFormat/>
    <w:uiPriority w:val="0"/>
    <w:rPr>
      <w:rFonts w:ascii="黑体" w:eastAsia="黑体"/>
    </w:rPr>
  </w:style>
  <w:style w:type="paragraph" w:customStyle="1" w:styleId="357">
    <w:name w:val="条文段（机动处）"/>
    <w:basedOn w:val="1"/>
    <w:qFormat/>
    <w:uiPriority w:val="0"/>
    <w:pPr>
      <w:ind w:firstLine="200" w:firstLineChars="200"/>
    </w:pPr>
  </w:style>
  <w:style w:type="paragraph" w:customStyle="1" w:styleId="358">
    <w:name w:val="Char Char Char Char Char Char Char Char Char1 Char"/>
    <w:basedOn w:val="1"/>
    <w:qFormat/>
    <w:uiPriority w:val="0"/>
    <w:pPr>
      <w:tabs>
        <w:tab w:val="left" w:pos="360"/>
      </w:tabs>
    </w:pPr>
  </w:style>
  <w:style w:type="paragraph" w:customStyle="1" w:styleId="359">
    <w:name w:val="Char Char Char Char Char Char1 Char4"/>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60">
    <w:name w:val="Char Char Char Char Char Char Char Char Char1 Char4"/>
    <w:basedOn w:val="1"/>
    <w:qFormat/>
    <w:uiPriority w:val="0"/>
    <w:pPr>
      <w:tabs>
        <w:tab w:val="left" w:pos="360"/>
      </w:tabs>
    </w:pPr>
  </w:style>
  <w:style w:type="character" w:customStyle="1" w:styleId="361">
    <w:name w:val="msoins"/>
    <w:basedOn w:val="62"/>
    <w:qFormat/>
    <w:uiPriority w:val="0"/>
  </w:style>
  <w:style w:type="paragraph" w:customStyle="1" w:styleId="362">
    <w:name w:val="考核原则"/>
    <w:basedOn w:val="1"/>
    <w:qFormat/>
    <w:uiPriority w:val="0"/>
    <w:pPr>
      <w:ind w:firstLine="600"/>
    </w:pPr>
    <w:rPr>
      <w:sz w:val="30"/>
      <w:szCs w:val="30"/>
    </w:rPr>
  </w:style>
  <w:style w:type="paragraph" w:customStyle="1" w:styleId="363">
    <w:name w:val="0"/>
    <w:qFormat/>
    <w:uiPriority w:val="0"/>
    <w:pPr>
      <w:spacing w:before="40"/>
    </w:pPr>
    <w:rPr>
      <w:rFonts w:ascii="Arial" w:hAnsi="Arial" w:eastAsia="宋体" w:cs="Times New Roman"/>
      <w:sz w:val="18"/>
      <w:lang w:val="en-US" w:eastAsia="en-US" w:bidi="ar-SA"/>
    </w:rPr>
  </w:style>
  <w:style w:type="paragraph" w:customStyle="1" w:styleId="364">
    <w:name w:val="FormField"/>
    <w:basedOn w:val="363"/>
    <w:qFormat/>
    <w:uiPriority w:val="0"/>
    <w:rPr>
      <w:rFonts w:ascii="Courier New" w:hAnsi="Courier New"/>
    </w:rPr>
  </w:style>
  <w:style w:type="paragraph" w:customStyle="1" w:styleId="365">
    <w:name w:val="8"/>
    <w:basedOn w:val="363"/>
    <w:qFormat/>
    <w:uiPriority w:val="0"/>
    <w:rPr>
      <w:sz w:val="16"/>
    </w:rPr>
  </w:style>
  <w:style w:type="paragraph" w:customStyle="1" w:styleId="366">
    <w:name w:val="TextFormField"/>
    <w:basedOn w:val="1"/>
    <w:qFormat/>
    <w:uiPriority w:val="0"/>
    <w:pPr>
      <w:widowControl/>
      <w:spacing w:before="60" w:after="20"/>
      <w:ind w:left="187"/>
      <w:jc w:val="left"/>
    </w:pPr>
    <w:rPr>
      <w:rFonts w:ascii="Arial" w:hAnsi="Arial"/>
      <w:kern w:val="0"/>
      <w:sz w:val="16"/>
      <w:szCs w:val="20"/>
      <w:lang w:eastAsia="en-US"/>
    </w:rPr>
  </w:style>
  <w:style w:type="paragraph" w:customStyle="1" w:styleId="367">
    <w:name w:val="ColumnHeading"/>
    <w:basedOn w:val="1"/>
    <w:qFormat/>
    <w:uiPriority w:val="0"/>
    <w:pPr>
      <w:widowControl/>
      <w:spacing w:before="60" w:after="60"/>
      <w:ind w:left="187"/>
      <w:jc w:val="left"/>
    </w:pPr>
    <w:rPr>
      <w:rFonts w:ascii="Arial" w:hAnsi="Arial"/>
      <w:kern w:val="0"/>
      <w:sz w:val="14"/>
      <w:szCs w:val="20"/>
      <w:lang w:eastAsia="en-US"/>
    </w:rPr>
  </w:style>
  <w:style w:type="paragraph" w:customStyle="1" w:styleId="368">
    <w:name w:val="tc"/>
    <w:basedOn w:val="1"/>
    <w:qFormat/>
    <w:uiPriority w:val="0"/>
    <w:pPr>
      <w:widowControl/>
      <w:spacing w:before="120" w:after="20"/>
      <w:ind w:right="630" w:firstLine="187"/>
      <w:jc w:val="right"/>
    </w:pPr>
    <w:rPr>
      <w:rFonts w:ascii="Courier New" w:hAnsi="Courier New"/>
      <w:kern w:val="0"/>
      <w:sz w:val="16"/>
      <w:szCs w:val="20"/>
      <w:lang w:eastAsia="en-US"/>
    </w:rPr>
  </w:style>
  <w:style w:type="paragraph" w:customStyle="1" w:styleId="369">
    <w:name w:val="ColumnHeadingCen"/>
    <w:basedOn w:val="367"/>
    <w:qFormat/>
    <w:uiPriority w:val="0"/>
    <w:pPr>
      <w:jc w:val="center"/>
    </w:pPr>
  </w:style>
  <w:style w:type="paragraph" w:customStyle="1" w:styleId="3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37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372">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宋体" w:eastAsia="黑体" w:cs="宋体"/>
      <w:kern w:val="0"/>
      <w:sz w:val="16"/>
      <w:szCs w:val="16"/>
    </w:rPr>
  </w:style>
  <w:style w:type="paragraph" w:customStyle="1" w:styleId="373">
    <w:name w:val="xl7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宋体" w:eastAsia="黑体" w:cs="宋体"/>
      <w:kern w:val="0"/>
      <w:sz w:val="20"/>
      <w:szCs w:val="20"/>
    </w:rPr>
  </w:style>
  <w:style w:type="paragraph" w:customStyle="1" w:styleId="374">
    <w:name w:val="xl74"/>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375">
    <w:name w:val="xl75"/>
    <w:basedOn w:val="1"/>
    <w:qFormat/>
    <w:uiPriority w:val="0"/>
    <w:pPr>
      <w:widowControl/>
      <w:spacing w:before="100" w:beforeAutospacing="1" w:after="100" w:afterAutospacing="1"/>
      <w:jc w:val="center"/>
    </w:pPr>
    <w:rPr>
      <w:b/>
      <w:bCs/>
      <w:kern w:val="0"/>
      <w:sz w:val="36"/>
      <w:szCs w:val="36"/>
    </w:rPr>
  </w:style>
  <w:style w:type="paragraph" w:customStyle="1" w:styleId="376">
    <w:name w:val="xl76"/>
    <w:basedOn w:val="1"/>
    <w:qFormat/>
    <w:uiPriority w:val="0"/>
    <w:pPr>
      <w:widowControl/>
      <w:pBdr>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77">
    <w:name w:val="Char Char Char Char Char Char Char4"/>
    <w:basedOn w:val="1"/>
    <w:qFormat/>
    <w:uiPriority w:val="0"/>
  </w:style>
  <w:style w:type="character" w:customStyle="1" w:styleId="378">
    <w:name w:val="Heading 1 Char"/>
    <w:qFormat/>
    <w:locked/>
    <w:uiPriority w:val="0"/>
    <w:rPr>
      <w:rFonts w:eastAsia="宋体"/>
      <w:b/>
      <w:bCs/>
      <w:kern w:val="44"/>
      <w:sz w:val="44"/>
      <w:szCs w:val="44"/>
      <w:lang w:val="en-US" w:eastAsia="zh-CN" w:bidi="ar-SA"/>
    </w:rPr>
  </w:style>
  <w:style w:type="character" w:customStyle="1" w:styleId="379">
    <w:name w:val="Heading 2 Char"/>
    <w:qFormat/>
    <w:locked/>
    <w:uiPriority w:val="0"/>
    <w:rPr>
      <w:rFonts w:ascii="Arial" w:hAnsi="Arial" w:eastAsia="黑体"/>
      <w:b/>
      <w:bCs/>
      <w:kern w:val="2"/>
      <w:sz w:val="32"/>
      <w:szCs w:val="32"/>
      <w:lang w:val="en-US" w:eastAsia="zh-CN" w:bidi="ar-SA"/>
    </w:rPr>
  </w:style>
  <w:style w:type="character" w:customStyle="1" w:styleId="380">
    <w:name w:val="Heading 3 Char"/>
    <w:qFormat/>
    <w:locked/>
    <w:uiPriority w:val="0"/>
    <w:rPr>
      <w:rFonts w:ascii="黑体" w:hAnsi="宋体" w:eastAsia="黑体"/>
      <w:bCs/>
      <w:kern w:val="2"/>
      <w:sz w:val="28"/>
      <w:szCs w:val="28"/>
      <w:lang w:val="en-US" w:eastAsia="zh-CN" w:bidi="ar-SA"/>
    </w:rPr>
  </w:style>
  <w:style w:type="character" w:customStyle="1" w:styleId="381">
    <w:name w:val="Heading 4 Char"/>
    <w:qFormat/>
    <w:locked/>
    <w:uiPriority w:val="0"/>
    <w:rPr>
      <w:rFonts w:ascii="Arial" w:hAnsi="Arial" w:eastAsia="黑体"/>
      <w:b/>
      <w:bCs/>
      <w:kern w:val="2"/>
      <w:sz w:val="28"/>
      <w:szCs w:val="28"/>
      <w:lang w:val="en-US" w:eastAsia="zh-CN" w:bidi="ar-SA"/>
    </w:rPr>
  </w:style>
  <w:style w:type="character" w:customStyle="1" w:styleId="382">
    <w:name w:val="Char Char20"/>
    <w:qFormat/>
    <w:uiPriority w:val="0"/>
    <w:rPr>
      <w:rFonts w:eastAsia="宋体"/>
      <w:b/>
      <w:sz w:val="28"/>
      <w:lang w:bidi="ar-SA"/>
    </w:rPr>
  </w:style>
  <w:style w:type="character" w:customStyle="1" w:styleId="383">
    <w:name w:val="Heading 6 Char"/>
    <w:qFormat/>
    <w:locked/>
    <w:uiPriority w:val="0"/>
    <w:rPr>
      <w:rFonts w:ascii="Arial" w:hAnsi="Arial" w:eastAsia="黑体"/>
      <w:b/>
      <w:bCs/>
      <w:sz w:val="24"/>
      <w:szCs w:val="24"/>
      <w:lang w:val="en-US" w:eastAsia="zh-CN" w:bidi="ar-SA"/>
    </w:rPr>
  </w:style>
  <w:style w:type="character" w:customStyle="1" w:styleId="384">
    <w:name w:val="Heading 7 Char"/>
    <w:qFormat/>
    <w:locked/>
    <w:uiPriority w:val="0"/>
    <w:rPr>
      <w:rFonts w:eastAsia="宋体"/>
      <w:b/>
      <w:bCs/>
      <w:sz w:val="24"/>
      <w:szCs w:val="24"/>
      <w:lang w:val="en-US" w:eastAsia="zh-CN" w:bidi="ar-SA"/>
    </w:rPr>
  </w:style>
  <w:style w:type="character" w:customStyle="1" w:styleId="385">
    <w:name w:val="Heading 8 Char"/>
    <w:qFormat/>
    <w:locked/>
    <w:uiPriority w:val="0"/>
    <w:rPr>
      <w:rFonts w:ascii="Arial" w:hAnsi="Arial" w:eastAsia="黑体"/>
      <w:sz w:val="24"/>
      <w:szCs w:val="24"/>
      <w:lang w:val="en-US" w:eastAsia="zh-CN" w:bidi="ar-SA"/>
    </w:rPr>
  </w:style>
  <w:style w:type="character" w:customStyle="1" w:styleId="386">
    <w:name w:val="Heading 9 Char"/>
    <w:qFormat/>
    <w:locked/>
    <w:uiPriority w:val="0"/>
    <w:rPr>
      <w:rFonts w:ascii="Arial" w:hAnsi="Arial" w:eastAsia="黑体"/>
      <w:sz w:val="21"/>
      <w:szCs w:val="21"/>
      <w:lang w:val="en-US" w:eastAsia="zh-CN" w:bidi="ar-SA"/>
    </w:rPr>
  </w:style>
  <w:style w:type="character" w:customStyle="1" w:styleId="387">
    <w:name w:val="正文文本 Char"/>
    <w:qFormat/>
    <w:uiPriority w:val="0"/>
    <w:rPr>
      <w:rFonts w:eastAsia="宋体" w:cs="Times New Roman"/>
      <w:kern w:val="2"/>
      <w:sz w:val="24"/>
      <w:szCs w:val="24"/>
      <w:lang w:val="en-US" w:eastAsia="zh-CN" w:bidi="ar-SA"/>
    </w:rPr>
  </w:style>
  <w:style w:type="character" w:customStyle="1" w:styleId="388">
    <w:name w:val="Comment Subject Char"/>
    <w:qFormat/>
    <w:locked/>
    <w:uiPriority w:val="0"/>
    <w:rPr>
      <w:rFonts w:eastAsia="宋体"/>
      <w:b/>
      <w:sz w:val="24"/>
    </w:rPr>
  </w:style>
  <w:style w:type="character" w:customStyle="1" w:styleId="389">
    <w:name w:val="Body Text First Indent Char"/>
    <w:qFormat/>
    <w:locked/>
    <w:uiPriority w:val="0"/>
    <w:rPr>
      <w:rFonts w:eastAsia="宋体"/>
      <w:kern w:val="2"/>
      <w:sz w:val="24"/>
      <w:lang w:val="en-US" w:eastAsia="zh-CN"/>
    </w:rPr>
  </w:style>
  <w:style w:type="character" w:customStyle="1" w:styleId="390">
    <w:name w:val="Comment Text Char"/>
    <w:qFormat/>
    <w:locked/>
    <w:uiPriority w:val="0"/>
    <w:rPr>
      <w:rFonts w:eastAsia="宋体"/>
      <w:sz w:val="24"/>
    </w:rPr>
  </w:style>
  <w:style w:type="character" w:customStyle="1" w:styleId="391">
    <w:name w:val="Document Map Char"/>
    <w:qFormat/>
    <w:locked/>
    <w:uiPriority w:val="0"/>
    <w:rPr>
      <w:rFonts w:eastAsia="宋体"/>
      <w:sz w:val="24"/>
      <w:shd w:val="clear" w:color="auto" w:fill="000080"/>
    </w:rPr>
  </w:style>
  <w:style w:type="character" w:customStyle="1" w:styleId="392">
    <w:name w:val="Body Text 3 Char"/>
    <w:qFormat/>
    <w:locked/>
    <w:uiPriority w:val="0"/>
    <w:rPr>
      <w:rFonts w:ascii="宋体" w:eastAsia="宋体"/>
      <w:kern w:val="2"/>
      <w:sz w:val="24"/>
      <w:lang w:val="en-US" w:eastAsia="zh-CN" w:bidi="ar-SA"/>
    </w:rPr>
  </w:style>
  <w:style w:type="character" w:customStyle="1" w:styleId="393">
    <w:name w:val="Body Text Indent Char"/>
    <w:qFormat/>
    <w:locked/>
    <w:uiPriority w:val="0"/>
    <w:rPr>
      <w:rFonts w:eastAsia="宋体"/>
      <w:kern w:val="2"/>
      <w:sz w:val="21"/>
      <w:szCs w:val="24"/>
      <w:lang w:val="en-US" w:eastAsia="zh-CN" w:bidi="ar-SA"/>
    </w:rPr>
  </w:style>
  <w:style w:type="paragraph" w:customStyle="1" w:styleId="394">
    <w:name w:val="修订1"/>
    <w:qFormat/>
    <w:uiPriority w:val="0"/>
    <w:rPr>
      <w:rFonts w:ascii="Times New Roman" w:hAnsi="Times New Roman" w:eastAsia="宋体" w:cs="Times New Roman"/>
      <w:kern w:val="2"/>
      <w:sz w:val="21"/>
      <w:szCs w:val="24"/>
      <w:lang w:val="en-US" w:eastAsia="zh-CN" w:bidi="ar-SA"/>
    </w:rPr>
  </w:style>
  <w:style w:type="character" w:customStyle="1" w:styleId="395">
    <w:name w:val="Document Map Char2"/>
    <w:semiHidden/>
    <w:qFormat/>
    <w:locked/>
    <w:uiPriority w:val="0"/>
    <w:rPr>
      <w:rFonts w:ascii="Calibri" w:hAnsi="Calibri" w:eastAsia="宋体"/>
      <w:sz w:val="24"/>
      <w:szCs w:val="24"/>
      <w:lang w:val="en-US" w:eastAsia="zh-CN" w:bidi="ar-SA"/>
    </w:rPr>
  </w:style>
  <w:style w:type="character" w:customStyle="1" w:styleId="396">
    <w:name w:val="Body Text Char"/>
    <w:semiHidden/>
    <w:qFormat/>
    <w:locked/>
    <w:uiPriority w:val="0"/>
    <w:rPr>
      <w:rFonts w:eastAsia="宋体"/>
      <w:kern w:val="2"/>
      <w:sz w:val="21"/>
      <w:szCs w:val="24"/>
      <w:lang w:val="en-US" w:eastAsia="zh-CN" w:bidi="ar-SA"/>
    </w:rPr>
  </w:style>
  <w:style w:type="character" w:customStyle="1" w:styleId="397">
    <w:name w:val="正文首行缩进 Char"/>
    <w:link w:val="59"/>
    <w:qFormat/>
    <w:locked/>
    <w:uiPriority w:val="0"/>
    <w:rPr>
      <w:rFonts w:ascii="Times" w:hAnsi="Times" w:eastAsia="宋体"/>
      <w:kern w:val="28"/>
      <w:sz w:val="28"/>
      <w:szCs w:val="24"/>
      <w:lang w:val="en-US" w:eastAsia="zh-CN" w:bidi="ar-SA"/>
    </w:rPr>
  </w:style>
  <w:style w:type="character" w:customStyle="1" w:styleId="398">
    <w:name w:val="Title Char"/>
    <w:qFormat/>
    <w:locked/>
    <w:uiPriority w:val="0"/>
    <w:rPr>
      <w:rFonts w:ascii="Arial" w:hAnsi="Arial" w:eastAsia="宋体"/>
      <w:b/>
      <w:sz w:val="32"/>
      <w:lang w:val="en-US" w:eastAsia="zh-CN" w:bidi="ar-SA"/>
    </w:rPr>
  </w:style>
  <w:style w:type="character" w:customStyle="1" w:styleId="399">
    <w:name w:val="Comment Text Char2"/>
    <w:semiHidden/>
    <w:qFormat/>
    <w:locked/>
    <w:uiPriority w:val="0"/>
    <w:rPr>
      <w:rFonts w:ascii="Calibri" w:hAnsi="Calibri" w:eastAsia="宋体"/>
      <w:sz w:val="24"/>
      <w:szCs w:val="24"/>
      <w:lang w:val="en-US" w:eastAsia="zh-CN" w:bidi="ar-SA"/>
    </w:rPr>
  </w:style>
  <w:style w:type="character" w:customStyle="1" w:styleId="400">
    <w:name w:val="Comment Subject Char2"/>
    <w:semiHidden/>
    <w:qFormat/>
    <w:locked/>
    <w:uiPriority w:val="0"/>
    <w:rPr>
      <w:rFonts w:ascii="Calibri" w:hAnsi="Calibri" w:eastAsia="宋体"/>
      <w:b/>
      <w:bCs/>
      <w:sz w:val="24"/>
      <w:szCs w:val="24"/>
      <w:lang w:val="en-US" w:eastAsia="zh-CN" w:bidi="ar-SA"/>
    </w:rPr>
  </w:style>
  <w:style w:type="character" w:customStyle="1" w:styleId="401">
    <w:name w:val="Balloon Text Char"/>
    <w:qFormat/>
    <w:locked/>
    <w:uiPriority w:val="0"/>
    <w:rPr>
      <w:rFonts w:eastAsia="宋体"/>
      <w:kern w:val="2"/>
      <w:sz w:val="18"/>
      <w:szCs w:val="18"/>
      <w:lang w:val="en-US" w:eastAsia="zh-CN" w:bidi="ar-SA"/>
    </w:rPr>
  </w:style>
  <w:style w:type="character" w:customStyle="1" w:styleId="402">
    <w:name w:val="Date Char"/>
    <w:qFormat/>
    <w:locked/>
    <w:uiPriority w:val="0"/>
    <w:rPr>
      <w:rFonts w:eastAsia="宋体"/>
      <w:kern w:val="2"/>
      <w:sz w:val="24"/>
      <w:lang w:val="en-US" w:eastAsia="zh-CN" w:bidi="ar-SA"/>
    </w:rPr>
  </w:style>
  <w:style w:type="character" w:customStyle="1" w:styleId="403">
    <w:name w:val="Body Text Indent 3 Char"/>
    <w:qFormat/>
    <w:locked/>
    <w:uiPriority w:val="0"/>
    <w:rPr>
      <w:rFonts w:eastAsia="宋体"/>
      <w:kern w:val="2"/>
      <w:sz w:val="16"/>
      <w:szCs w:val="16"/>
      <w:lang w:val="en-US" w:eastAsia="zh-CN" w:bidi="ar-SA"/>
    </w:rPr>
  </w:style>
  <w:style w:type="character" w:customStyle="1" w:styleId="404">
    <w:name w:val="Char Char21"/>
    <w:qFormat/>
    <w:uiPriority w:val="0"/>
    <w:rPr>
      <w:rFonts w:ascii="Arial" w:hAnsi="Arial" w:eastAsia="黑体" w:cs="Times New Roman"/>
      <w:b/>
      <w:bCs/>
      <w:sz w:val="28"/>
      <w:szCs w:val="28"/>
    </w:rPr>
  </w:style>
  <w:style w:type="paragraph" w:customStyle="1" w:styleId="405">
    <w:name w:val="reader-word-layer reader-word-s1-7"/>
    <w:basedOn w:val="1"/>
    <w:qFormat/>
    <w:uiPriority w:val="0"/>
    <w:pPr>
      <w:widowControl/>
      <w:spacing w:before="100" w:beforeAutospacing="1" w:after="100" w:afterAutospacing="1" w:line="240" w:lineRule="auto"/>
      <w:jc w:val="left"/>
    </w:pPr>
    <w:rPr>
      <w:rFonts w:ascii="宋体" w:hAnsi="宋体" w:cs="宋体"/>
      <w:kern w:val="0"/>
    </w:rPr>
  </w:style>
  <w:style w:type="paragraph" w:customStyle="1" w:styleId="406">
    <w:name w:val="正文格式"/>
    <w:basedOn w:val="1"/>
    <w:next w:val="1"/>
    <w:qFormat/>
    <w:uiPriority w:val="0"/>
    <w:pPr>
      <w:spacing w:beforeLines="50" w:line="240" w:lineRule="auto"/>
      <w:ind w:firstLine="482"/>
    </w:pPr>
    <w:rPr>
      <w:rFonts w:cs="宋体"/>
      <w:szCs w:val="20"/>
    </w:rPr>
  </w:style>
  <w:style w:type="paragraph" w:customStyle="1" w:styleId="407">
    <w:name w:val="普通(网站)1"/>
    <w:basedOn w:val="1"/>
    <w:qFormat/>
    <w:uiPriority w:val="0"/>
    <w:pPr>
      <w:widowControl/>
      <w:spacing w:before="100" w:beforeAutospacing="1" w:after="100" w:afterAutospacing="1" w:line="240" w:lineRule="auto"/>
      <w:jc w:val="left"/>
    </w:pPr>
    <w:rPr>
      <w:rFonts w:ascii="宋体" w:hAnsi="宋体"/>
      <w:kern w:val="0"/>
      <w:szCs w:val="20"/>
    </w:rPr>
  </w:style>
  <w:style w:type="paragraph" w:customStyle="1" w:styleId="408">
    <w:name w:val="A1"/>
    <w:basedOn w:val="3"/>
    <w:qFormat/>
    <w:uiPriority w:val="0"/>
    <w:rPr>
      <w:rFonts w:ascii="宋体"/>
    </w:rPr>
  </w:style>
  <w:style w:type="character" w:customStyle="1" w:styleId="409">
    <w:name w:val="Char Char222"/>
    <w:qFormat/>
    <w:uiPriority w:val="0"/>
    <w:rPr>
      <w:rFonts w:ascii="Arial" w:hAnsi="Arial" w:eastAsia="黑体" w:cs="Times New Roman"/>
      <w:kern w:val="0"/>
      <w:sz w:val="24"/>
      <w:szCs w:val="24"/>
    </w:rPr>
  </w:style>
  <w:style w:type="character" w:customStyle="1" w:styleId="410">
    <w:name w:val="Char Char232"/>
    <w:qFormat/>
    <w:uiPriority w:val="0"/>
    <w:rPr>
      <w:rFonts w:ascii="Times New Roman" w:hAnsi="Times New Roman" w:eastAsia="宋体" w:cs="Times New Roman"/>
      <w:b/>
      <w:bCs/>
      <w:kern w:val="0"/>
      <w:sz w:val="24"/>
      <w:szCs w:val="24"/>
    </w:rPr>
  </w:style>
  <w:style w:type="character" w:customStyle="1" w:styleId="411">
    <w:name w:val="普通文字 Char Char Char Char Char Char Char1"/>
    <w:qFormat/>
    <w:uiPriority w:val="0"/>
    <w:rPr>
      <w:rFonts w:ascii="宋体" w:hAnsi="Courier New" w:eastAsia="宋体" w:cs="Times New Roman"/>
      <w:szCs w:val="21"/>
    </w:rPr>
  </w:style>
  <w:style w:type="character" w:customStyle="1" w:styleId="412">
    <w:name w:val="Char Char242"/>
    <w:qFormat/>
    <w:uiPriority w:val="0"/>
    <w:rPr>
      <w:rFonts w:ascii="Arial" w:hAnsi="Arial" w:eastAsia="黑体" w:cs="Times New Roman"/>
      <w:b/>
      <w:bCs/>
      <w:kern w:val="0"/>
      <w:sz w:val="24"/>
      <w:szCs w:val="24"/>
    </w:rPr>
  </w:style>
  <w:style w:type="character" w:customStyle="1" w:styleId="413">
    <w:name w:val="Char Char252"/>
    <w:qFormat/>
    <w:uiPriority w:val="0"/>
    <w:rPr>
      <w:rFonts w:ascii="Times New Roman" w:hAnsi="Times New Roman" w:eastAsia="宋体" w:cs="Times New Roman"/>
      <w:b/>
      <w:kern w:val="0"/>
      <w:sz w:val="28"/>
      <w:szCs w:val="20"/>
    </w:rPr>
  </w:style>
  <w:style w:type="character" w:customStyle="1" w:styleId="414">
    <w:name w:val="Char Char212"/>
    <w:qFormat/>
    <w:uiPriority w:val="0"/>
    <w:rPr>
      <w:rFonts w:ascii="Arial" w:hAnsi="Arial" w:eastAsia="黑体" w:cs="Times New Roman"/>
      <w:b/>
      <w:bCs/>
      <w:sz w:val="28"/>
      <w:szCs w:val="28"/>
    </w:rPr>
  </w:style>
  <w:style w:type="character" w:customStyle="1" w:styleId="415">
    <w:name w:val="Char Char202"/>
    <w:qFormat/>
    <w:uiPriority w:val="0"/>
    <w:rPr>
      <w:rFonts w:eastAsia="宋体"/>
      <w:b/>
      <w:sz w:val="28"/>
      <w:lang w:bidi="ar-SA"/>
    </w:rPr>
  </w:style>
  <w:style w:type="paragraph" w:customStyle="1" w:styleId="416">
    <w:name w:val="Char Char Char Char Char Char Char Char Char1 Char3"/>
    <w:basedOn w:val="1"/>
    <w:qFormat/>
    <w:uiPriority w:val="0"/>
    <w:pPr>
      <w:tabs>
        <w:tab w:val="left" w:pos="360"/>
      </w:tabs>
    </w:pPr>
  </w:style>
  <w:style w:type="paragraph" w:customStyle="1" w:styleId="417">
    <w:name w:val="Char Char Char Char Char Char1 Char3"/>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418">
    <w:name w:val="Char Char Char Char Char Char Char3"/>
    <w:basedOn w:val="1"/>
    <w:qFormat/>
    <w:uiPriority w:val="0"/>
  </w:style>
  <w:style w:type="paragraph" w:customStyle="1" w:styleId="419">
    <w:name w:val="Char16"/>
    <w:basedOn w:val="1"/>
    <w:qFormat/>
    <w:uiPriority w:val="0"/>
    <w:pPr>
      <w:widowControl/>
      <w:spacing w:after="160" w:line="240" w:lineRule="exact"/>
      <w:jc w:val="left"/>
    </w:pPr>
    <w:rPr>
      <w:rFonts w:ascii="Verdana" w:hAnsi="Verdana"/>
      <w:kern w:val="0"/>
      <w:sz w:val="20"/>
      <w:szCs w:val="20"/>
      <w:lang w:eastAsia="en-US"/>
    </w:rPr>
  </w:style>
  <w:style w:type="paragraph" w:customStyle="1" w:styleId="420">
    <w:name w:val="Char5"/>
    <w:basedOn w:val="1"/>
    <w:qFormat/>
    <w:uiPriority w:val="0"/>
  </w:style>
  <w:style w:type="paragraph" w:customStyle="1" w:styleId="421">
    <w:name w:val="Char Char Char Char3"/>
    <w:basedOn w:val="1"/>
    <w:qFormat/>
    <w:uiPriority w:val="0"/>
    <w:pPr>
      <w:widowControl/>
      <w:spacing w:after="160" w:line="240" w:lineRule="exact"/>
      <w:ind w:left="652" w:firstLine="505"/>
      <w:jc w:val="left"/>
    </w:pPr>
    <w:rPr>
      <w:szCs w:val="20"/>
    </w:rPr>
  </w:style>
  <w:style w:type="character" w:customStyle="1" w:styleId="422">
    <w:name w:val="Char Char221"/>
    <w:qFormat/>
    <w:uiPriority w:val="0"/>
    <w:rPr>
      <w:rFonts w:ascii="Arial" w:hAnsi="Arial" w:eastAsia="黑体" w:cs="Times New Roman"/>
      <w:kern w:val="0"/>
      <w:sz w:val="24"/>
      <w:szCs w:val="24"/>
    </w:rPr>
  </w:style>
  <w:style w:type="character" w:customStyle="1" w:styleId="423">
    <w:name w:val="Char Char231"/>
    <w:qFormat/>
    <w:uiPriority w:val="0"/>
    <w:rPr>
      <w:rFonts w:ascii="Times New Roman" w:hAnsi="Times New Roman" w:eastAsia="宋体" w:cs="Times New Roman"/>
      <w:b/>
      <w:bCs/>
      <w:kern w:val="0"/>
      <w:sz w:val="24"/>
      <w:szCs w:val="24"/>
    </w:rPr>
  </w:style>
  <w:style w:type="character" w:customStyle="1" w:styleId="424">
    <w:name w:val="Char Char241"/>
    <w:qFormat/>
    <w:uiPriority w:val="0"/>
    <w:rPr>
      <w:rFonts w:ascii="Arial" w:hAnsi="Arial" w:eastAsia="黑体" w:cs="Times New Roman"/>
      <w:b/>
      <w:bCs/>
      <w:kern w:val="0"/>
      <w:sz w:val="24"/>
      <w:szCs w:val="24"/>
    </w:rPr>
  </w:style>
  <w:style w:type="character" w:customStyle="1" w:styleId="425">
    <w:name w:val="Char Char251"/>
    <w:qFormat/>
    <w:uiPriority w:val="0"/>
    <w:rPr>
      <w:rFonts w:ascii="Times New Roman" w:hAnsi="Times New Roman" w:eastAsia="宋体" w:cs="Times New Roman"/>
      <w:b/>
      <w:kern w:val="0"/>
      <w:sz w:val="28"/>
      <w:szCs w:val="20"/>
    </w:rPr>
  </w:style>
  <w:style w:type="character" w:customStyle="1" w:styleId="426">
    <w:name w:val="Char Char211"/>
    <w:qFormat/>
    <w:uiPriority w:val="0"/>
    <w:rPr>
      <w:rFonts w:ascii="Arial" w:hAnsi="Arial" w:eastAsia="黑体" w:cs="Times New Roman"/>
      <w:b/>
      <w:bCs/>
      <w:sz w:val="28"/>
      <w:szCs w:val="28"/>
    </w:rPr>
  </w:style>
  <w:style w:type="character" w:customStyle="1" w:styleId="427">
    <w:name w:val="Char Char201"/>
    <w:qFormat/>
    <w:uiPriority w:val="0"/>
    <w:rPr>
      <w:rFonts w:eastAsia="宋体"/>
      <w:b/>
      <w:sz w:val="28"/>
      <w:lang w:bidi="ar-SA"/>
    </w:rPr>
  </w:style>
  <w:style w:type="paragraph" w:customStyle="1" w:styleId="428">
    <w:name w:val="Char Char Char Char Char Char Char Char Char1 Char2"/>
    <w:basedOn w:val="1"/>
    <w:qFormat/>
    <w:uiPriority w:val="0"/>
    <w:pPr>
      <w:tabs>
        <w:tab w:val="left" w:pos="360"/>
      </w:tabs>
    </w:pPr>
  </w:style>
  <w:style w:type="paragraph" w:customStyle="1" w:styleId="429">
    <w:name w:val="Char Char Char Char Char Char1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430">
    <w:name w:val="Char Char Char Char Char Char Char2"/>
    <w:basedOn w:val="1"/>
    <w:qFormat/>
    <w:uiPriority w:val="0"/>
  </w:style>
  <w:style w:type="paragraph" w:customStyle="1" w:styleId="431">
    <w:name w:val="Char15"/>
    <w:basedOn w:val="1"/>
    <w:qFormat/>
    <w:uiPriority w:val="0"/>
    <w:pPr>
      <w:widowControl/>
      <w:spacing w:after="160" w:line="240" w:lineRule="exact"/>
      <w:jc w:val="left"/>
    </w:pPr>
    <w:rPr>
      <w:rFonts w:ascii="Verdana" w:hAnsi="Verdana"/>
      <w:kern w:val="0"/>
      <w:sz w:val="20"/>
      <w:szCs w:val="20"/>
      <w:lang w:eastAsia="en-US"/>
    </w:rPr>
  </w:style>
  <w:style w:type="paragraph" w:customStyle="1" w:styleId="432">
    <w:name w:val="Char4"/>
    <w:basedOn w:val="1"/>
    <w:qFormat/>
    <w:uiPriority w:val="0"/>
  </w:style>
  <w:style w:type="paragraph" w:customStyle="1" w:styleId="433">
    <w:name w:val="Char Char Char Char2"/>
    <w:basedOn w:val="1"/>
    <w:qFormat/>
    <w:uiPriority w:val="0"/>
    <w:pPr>
      <w:widowControl/>
      <w:spacing w:after="160" w:line="240" w:lineRule="exact"/>
      <w:ind w:left="652" w:firstLine="505"/>
      <w:jc w:val="left"/>
    </w:pPr>
    <w:rPr>
      <w:szCs w:val="20"/>
    </w:rPr>
  </w:style>
  <w:style w:type="paragraph" w:customStyle="1" w:styleId="434">
    <w:name w:val="7"/>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customStyle="1" w:styleId="435">
    <w:name w:val="副标题 Char"/>
    <w:link w:val="46"/>
    <w:qFormat/>
    <w:uiPriority w:val="0"/>
    <w:rPr>
      <w:rFonts w:ascii="Cambria" w:hAnsi="Cambria"/>
      <w:b/>
      <w:bCs/>
      <w:kern w:val="28"/>
      <w:sz w:val="32"/>
      <w:szCs w:val="32"/>
    </w:rPr>
  </w:style>
  <w:style w:type="character" w:customStyle="1" w:styleId="436">
    <w:name w:val="wg正文 仿宋_GB2312 四号"/>
    <w:qFormat/>
    <w:uiPriority w:val="0"/>
    <w:rPr>
      <w:rFonts w:ascii="仿宋_GB2312" w:hAnsi="仿宋_GB2312" w:eastAsia="仿宋_GB2312"/>
      <w:sz w:val="28"/>
    </w:rPr>
  </w:style>
  <w:style w:type="character" w:customStyle="1" w:styleId="437">
    <w:name w:val="Char Char26"/>
    <w:qFormat/>
    <w:uiPriority w:val="0"/>
    <w:rPr>
      <w:rFonts w:eastAsia="宋体"/>
      <w:b/>
      <w:sz w:val="28"/>
      <w:lang w:bidi="ar-SA"/>
    </w:rPr>
  </w:style>
  <w:style w:type="character" w:customStyle="1" w:styleId="438">
    <w:name w:val="wg标注 仿宋_GB23121"/>
    <w:qFormat/>
    <w:uiPriority w:val="0"/>
    <w:rPr>
      <w:rFonts w:ascii="仿宋_GB2312" w:hAnsi="仿宋_GB2312" w:eastAsia="仿宋_GB2312"/>
      <w:sz w:val="21"/>
    </w:rPr>
  </w:style>
  <w:style w:type="character" w:customStyle="1" w:styleId="439">
    <w:name w:val="Body Text First Indent Char2"/>
    <w:semiHidden/>
    <w:qFormat/>
    <w:locked/>
    <w:uiPriority w:val="0"/>
    <w:rPr>
      <w:rFonts w:ascii="Times" w:hAnsi="Times" w:eastAsia="宋体"/>
      <w:kern w:val="28"/>
      <w:sz w:val="28"/>
      <w:szCs w:val="24"/>
      <w:lang w:val="en-US" w:eastAsia="zh-CN" w:bidi="ar-SA"/>
    </w:rPr>
  </w:style>
  <w:style w:type="paragraph" w:customStyle="1" w:styleId="440">
    <w:name w:val="Char Char Char Char Char Char Char11"/>
    <w:basedOn w:val="1"/>
    <w:qFormat/>
    <w:uiPriority w:val="0"/>
    <w:pPr>
      <w:spacing w:line="240" w:lineRule="auto"/>
    </w:pPr>
    <w:rPr>
      <w:sz w:val="21"/>
    </w:rPr>
  </w:style>
  <w:style w:type="paragraph" w:customStyle="1" w:styleId="441">
    <w:name w:val="Char Char Char Char Char Char Char1"/>
    <w:basedOn w:val="1"/>
    <w:qFormat/>
    <w:uiPriority w:val="0"/>
    <w:pPr>
      <w:spacing w:line="240" w:lineRule="auto"/>
    </w:pPr>
    <w:rPr>
      <w:sz w:val="21"/>
    </w:rPr>
  </w:style>
  <w:style w:type="paragraph" w:customStyle="1" w:styleId="442">
    <w:name w:val="Char141"/>
    <w:basedOn w:val="1"/>
    <w:qFormat/>
    <w:uiPriority w:val="0"/>
    <w:pPr>
      <w:widowControl/>
      <w:spacing w:after="160" w:line="240" w:lineRule="exact"/>
      <w:jc w:val="left"/>
    </w:pPr>
    <w:rPr>
      <w:rFonts w:ascii="Verdana" w:hAnsi="Verdana"/>
      <w:kern w:val="0"/>
      <w:sz w:val="20"/>
      <w:szCs w:val="20"/>
      <w:lang w:eastAsia="en-US"/>
    </w:rPr>
  </w:style>
  <w:style w:type="paragraph" w:customStyle="1" w:styleId="443">
    <w:name w:val="Char Char Char Char11"/>
    <w:basedOn w:val="1"/>
    <w:qFormat/>
    <w:uiPriority w:val="0"/>
    <w:pPr>
      <w:widowControl/>
      <w:spacing w:after="160" w:line="240" w:lineRule="exact"/>
      <w:ind w:left="652" w:firstLine="505"/>
      <w:jc w:val="left"/>
    </w:pPr>
    <w:rPr>
      <w:sz w:val="21"/>
      <w:szCs w:val="20"/>
    </w:rPr>
  </w:style>
  <w:style w:type="paragraph" w:customStyle="1" w:styleId="444">
    <w:name w:val="Char31"/>
    <w:basedOn w:val="1"/>
    <w:qFormat/>
    <w:uiPriority w:val="0"/>
    <w:pPr>
      <w:spacing w:line="240" w:lineRule="auto"/>
    </w:pPr>
    <w:rPr>
      <w:sz w:val="21"/>
    </w:rPr>
  </w:style>
  <w:style w:type="paragraph" w:customStyle="1" w:styleId="445">
    <w:name w:val="Char Char27"/>
    <w:basedOn w:val="1"/>
    <w:uiPriority w:val="0"/>
    <w:pPr>
      <w:spacing w:line="240" w:lineRule="auto"/>
    </w:pPr>
    <w:rPr>
      <w:rFonts w:ascii="Tahoma" w:hAnsi="Tahoma"/>
      <w:szCs w:val="20"/>
    </w:rPr>
  </w:style>
  <w:style w:type="paragraph" w:customStyle="1" w:styleId="446">
    <w:name w:val="Char Char Char Char Char Char1 Char1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447">
    <w:name w:val="Char Char Char Char Char Char Char Char Char1 Char11"/>
    <w:basedOn w:val="1"/>
    <w:qFormat/>
    <w:uiPriority w:val="0"/>
    <w:pPr>
      <w:tabs>
        <w:tab w:val="left" w:pos="360"/>
      </w:tabs>
      <w:spacing w:line="240" w:lineRule="auto"/>
    </w:pPr>
  </w:style>
  <w:style w:type="paragraph" w:customStyle="1" w:styleId="448">
    <w:name w:val="Char3"/>
    <w:basedOn w:val="1"/>
    <w:qFormat/>
    <w:uiPriority w:val="0"/>
    <w:pPr>
      <w:spacing w:line="240" w:lineRule="auto"/>
    </w:pPr>
    <w:rPr>
      <w:sz w:val="21"/>
    </w:rPr>
  </w:style>
  <w:style w:type="paragraph" w:customStyle="1" w:styleId="449">
    <w:name w:val="Char Char Char Char1"/>
    <w:basedOn w:val="1"/>
    <w:qFormat/>
    <w:uiPriority w:val="0"/>
    <w:pPr>
      <w:widowControl/>
      <w:spacing w:after="160" w:line="240" w:lineRule="exact"/>
      <w:ind w:left="652" w:firstLine="505"/>
      <w:jc w:val="left"/>
    </w:pPr>
    <w:rPr>
      <w:sz w:val="21"/>
      <w:szCs w:val="20"/>
    </w:rPr>
  </w:style>
  <w:style w:type="paragraph" w:customStyle="1" w:styleId="450">
    <w:name w:val="Char14"/>
    <w:basedOn w:val="1"/>
    <w:qFormat/>
    <w:uiPriority w:val="0"/>
    <w:pPr>
      <w:widowControl/>
      <w:spacing w:after="160" w:line="240" w:lineRule="exact"/>
      <w:jc w:val="left"/>
    </w:pPr>
    <w:rPr>
      <w:rFonts w:ascii="Verdana" w:hAnsi="Verdana"/>
      <w:kern w:val="0"/>
      <w:sz w:val="20"/>
      <w:szCs w:val="20"/>
      <w:lang w:eastAsia="en-US"/>
    </w:rPr>
  </w:style>
  <w:style w:type="paragraph" w:customStyle="1" w:styleId="45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452">
    <w:name w:val="Char Char Char Char Char Char Char Char Char1 Char1"/>
    <w:basedOn w:val="1"/>
    <w:qFormat/>
    <w:uiPriority w:val="0"/>
    <w:pPr>
      <w:tabs>
        <w:tab w:val="left" w:pos="360"/>
      </w:tabs>
      <w:spacing w:line="240" w:lineRule="auto"/>
    </w:pPr>
  </w:style>
  <w:style w:type="paragraph" w:customStyle="1" w:styleId="453">
    <w:name w:val="6"/>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customStyle="1" w:styleId="454">
    <w:name w:val="5"/>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customStyle="1" w:styleId="455">
    <w:name w:val="列出段落11"/>
    <w:basedOn w:val="1"/>
    <w:qFormat/>
    <w:uiPriority w:val="34"/>
    <w:pPr>
      <w:spacing w:line="240" w:lineRule="auto"/>
      <w:ind w:firstLine="420" w:firstLineChars="200"/>
    </w:pPr>
    <w:rPr>
      <w:sz w:val="21"/>
    </w:rPr>
  </w:style>
  <w:style w:type="paragraph" w:customStyle="1" w:styleId="456">
    <w:name w:val="z-窗体底端1"/>
    <w:basedOn w:val="1"/>
    <w:next w:val="1"/>
    <w:link w:val="468"/>
    <w:qFormat/>
    <w:uiPriority w:val="0"/>
    <w:pPr>
      <w:pBdr>
        <w:top w:val="single" w:color="auto" w:sz="6" w:space="1"/>
      </w:pBdr>
      <w:spacing w:line="240" w:lineRule="auto"/>
      <w:jc w:val="center"/>
    </w:pPr>
    <w:rPr>
      <w:rFonts w:ascii="Arial" w:hAnsi="Arial" w:cs="Arial"/>
      <w:vanish/>
      <w:sz w:val="16"/>
      <w:szCs w:val="16"/>
    </w:rPr>
  </w:style>
  <w:style w:type="paragraph" w:customStyle="1" w:styleId="457">
    <w:name w:val="z-窗体顶端1"/>
    <w:basedOn w:val="1"/>
    <w:next w:val="1"/>
    <w:link w:val="469"/>
    <w:qFormat/>
    <w:uiPriority w:val="0"/>
    <w:pPr>
      <w:pBdr>
        <w:bottom w:val="single" w:color="auto" w:sz="6" w:space="1"/>
      </w:pBdr>
      <w:spacing w:line="240" w:lineRule="auto"/>
      <w:jc w:val="center"/>
    </w:pPr>
    <w:rPr>
      <w:rFonts w:ascii="Arial" w:hAnsi="Arial" w:cs="Arial"/>
      <w:vanish/>
      <w:sz w:val="16"/>
      <w:szCs w:val="16"/>
    </w:rPr>
  </w:style>
  <w:style w:type="paragraph" w:customStyle="1" w:styleId="458">
    <w:name w:val="明显引用1"/>
    <w:basedOn w:val="1"/>
    <w:next w:val="1"/>
    <w:qFormat/>
    <w:uiPriority w:val="0"/>
    <w:pPr>
      <w:pBdr>
        <w:bottom w:val="single" w:color="4F81BD" w:sz="4" w:space="4"/>
      </w:pBdr>
      <w:spacing w:before="200" w:after="280" w:line="240" w:lineRule="auto"/>
      <w:ind w:left="936" w:right="936"/>
    </w:pPr>
    <w:rPr>
      <w:rFonts w:ascii="Calibri" w:hAnsi="Calibri" w:cs="Calibri"/>
      <w:b/>
      <w:bCs/>
      <w:i/>
      <w:iCs/>
      <w:color w:val="4F81BD"/>
      <w:sz w:val="21"/>
      <w:szCs w:val="22"/>
    </w:rPr>
  </w:style>
  <w:style w:type="paragraph" w:customStyle="1" w:styleId="459">
    <w:name w:val="引用1"/>
    <w:basedOn w:val="1"/>
    <w:next w:val="1"/>
    <w:qFormat/>
    <w:uiPriority w:val="0"/>
    <w:pPr>
      <w:spacing w:line="240" w:lineRule="auto"/>
    </w:pPr>
    <w:rPr>
      <w:rFonts w:ascii="Calibri" w:hAnsi="Calibri" w:cs="Calibri"/>
      <w:i/>
      <w:iCs/>
      <w:color w:val="000000"/>
      <w:sz w:val="21"/>
      <w:szCs w:val="22"/>
    </w:rPr>
  </w:style>
  <w:style w:type="paragraph" w:customStyle="1" w:styleId="46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1">
    <w:name w:val="TOC 标题1"/>
    <w:basedOn w:val="2"/>
    <w:next w:val="1"/>
    <w:qFormat/>
    <w:uiPriority w:val="0"/>
    <w:pPr>
      <w:spacing w:line="576" w:lineRule="auto"/>
      <w:jc w:val="both"/>
      <w:outlineLvl w:val="9"/>
    </w:pPr>
    <w:rPr>
      <w:rFonts w:ascii="Calibri" w:hAnsi="Calibri"/>
    </w:rPr>
  </w:style>
  <w:style w:type="paragraph" w:customStyle="1" w:styleId="462">
    <w:name w:val="修订11"/>
    <w:qFormat/>
    <w:uiPriority w:val="0"/>
    <w:rPr>
      <w:rFonts w:ascii="Times New Roman" w:hAnsi="Times New Roman" w:eastAsia="宋体" w:cs="Times New Roman"/>
      <w:kern w:val="2"/>
      <w:sz w:val="21"/>
      <w:szCs w:val="24"/>
      <w:lang w:val="en-US" w:eastAsia="zh-CN" w:bidi="ar-SA"/>
    </w:rPr>
  </w:style>
  <w:style w:type="character" w:customStyle="1" w:styleId="463">
    <w:name w:val="书籍标题1"/>
    <w:qFormat/>
    <w:uiPriority w:val="0"/>
    <w:rPr>
      <w:b/>
      <w:bCs/>
      <w:smallCaps/>
      <w:spacing w:val="5"/>
    </w:rPr>
  </w:style>
  <w:style w:type="character" w:customStyle="1" w:styleId="464">
    <w:name w:val="明显强调1"/>
    <w:qFormat/>
    <w:uiPriority w:val="0"/>
    <w:rPr>
      <w:b/>
      <w:bCs/>
      <w:i/>
      <w:iCs/>
      <w:color w:val="4F81BD"/>
    </w:rPr>
  </w:style>
  <w:style w:type="character" w:customStyle="1" w:styleId="465">
    <w:name w:val="不明显强调1"/>
    <w:qFormat/>
    <w:uiPriority w:val="0"/>
    <w:rPr>
      <w:i/>
      <w:iCs/>
      <w:color w:val="808080"/>
    </w:rPr>
  </w:style>
  <w:style w:type="character" w:customStyle="1" w:styleId="466">
    <w:name w:val="不明显参考1"/>
    <w:qFormat/>
    <w:uiPriority w:val="0"/>
    <w:rPr>
      <w:smallCaps/>
      <w:color w:val="C0504D"/>
      <w:u w:val="single"/>
    </w:rPr>
  </w:style>
  <w:style w:type="character" w:customStyle="1" w:styleId="467">
    <w:name w:val="明显参考1"/>
    <w:qFormat/>
    <w:uiPriority w:val="0"/>
    <w:rPr>
      <w:b/>
      <w:bCs/>
      <w:smallCaps/>
      <w:color w:val="C0504D"/>
      <w:spacing w:val="5"/>
      <w:u w:val="single"/>
    </w:rPr>
  </w:style>
  <w:style w:type="character" w:customStyle="1" w:styleId="468">
    <w:name w:val="z-窗体底端 Char"/>
    <w:link w:val="456"/>
    <w:qFormat/>
    <w:uiPriority w:val="0"/>
    <w:rPr>
      <w:rFonts w:ascii="Arial" w:hAnsi="Arial" w:cs="Arial"/>
      <w:vanish/>
      <w:kern w:val="2"/>
      <w:sz w:val="16"/>
      <w:szCs w:val="16"/>
    </w:rPr>
  </w:style>
  <w:style w:type="character" w:customStyle="1" w:styleId="469">
    <w:name w:val="z-窗体顶端 Char"/>
    <w:link w:val="457"/>
    <w:qFormat/>
    <w:uiPriority w:val="0"/>
    <w:rPr>
      <w:rFonts w:ascii="Arial" w:hAnsi="Arial" w:cs="Arial"/>
      <w:vanish/>
      <w:kern w:val="2"/>
      <w:sz w:val="16"/>
      <w:szCs w:val="16"/>
    </w:rPr>
  </w:style>
  <w:style w:type="character" w:customStyle="1" w:styleId="470">
    <w:name w:val="签名 Char"/>
    <w:link w:val="41"/>
    <w:qFormat/>
    <w:uiPriority w:val="0"/>
    <w:rPr>
      <w:rFonts w:ascii="Times New Roman" w:hAnsi="Times New Roman"/>
      <w:kern w:val="2"/>
      <w:sz w:val="24"/>
      <w:szCs w:val="24"/>
    </w:rPr>
  </w:style>
  <w:style w:type="paragraph" w:customStyle="1" w:styleId="471">
    <w:name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table" w:customStyle="1" w:styleId="472">
    <w:name w:val="网格型1"/>
    <w:basedOn w:val="6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3">
    <w:name w:val="网格型2"/>
    <w:basedOn w:val="60"/>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4">
    <w:name w:val="目录 11"/>
    <w:basedOn w:val="1"/>
    <w:next w:val="1"/>
    <w:qFormat/>
    <w:uiPriority w:val="39"/>
    <w:pPr>
      <w:tabs>
        <w:tab w:val="right" w:leader="dot" w:pos="9060"/>
      </w:tabs>
      <w:ind w:firstLine="480"/>
      <w:jc w:val="left"/>
    </w:pPr>
    <w:rPr>
      <w:rFonts w:ascii="宋体" w:hAnsi="宋体"/>
      <w:b/>
      <w:bCs/>
      <w:caps/>
      <w:kern w:val="0"/>
    </w:rPr>
  </w:style>
  <w:style w:type="table" w:customStyle="1" w:styleId="475">
    <w:name w:val="网格型3"/>
    <w:basedOn w:val="6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6">
    <w:name w:val="p"/>
    <w:basedOn w:val="1"/>
    <w:qFormat/>
    <w:uiPriority w:val="0"/>
    <w:pPr>
      <w:widowControl/>
      <w:spacing w:line="315" w:lineRule="atLeast"/>
      <w:jc w:val="left"/>
    </w:pPr>
    <w:rPr>
      <w:rFonts w:ascii="宋体" w:hAnsi="宋体" w:cs="宋体"/>
      <w:kern w:val="0"/>
      <w:sz w:val="21"/>
      <w:szCs w:val="21"/>
      <w:lang w:eastAsia="en-US"/>
    </w:rPr>
  </w:style>
  <w:style w:type="character" w:customStyle="1" w:styleId="477">
    <w:name w:val="pt-a0"/>
    <w:basedOn w:val="62"/>
    <w:qFormat/>
    <w:uiPriority w:val="0"/>
  </w:style>
  <w:style w:type="paragraph" w:customStyle="1" w:styleId="478">
    <w:name w:val="td_p"/>
    <w:basedOn w:val="1"/>
    <w:qFormat/>
    <w:uiPriority w:val="0"/>
    <w:pPr>
      <w:widowControl/>
      <w:spacing w:line="315" w:lineRule="atLeast"/>
      <w:jc w:val="left"/>
    </w:pPr>
    <w:rPr>
      <w:rFonts w:ascii="宋体" w:hAnsi="宋体" w:cs="宋体"/>
      <w:kern w:val="0"/>
      <w:sz w:val="21"/>
      <w:szCs w:val="21"/>
      <w:lang w:eastAsia="en-US"/>
    </w:rPr>
  </w:style>
  <w:style w:type="character" w:customStyle="1" w:styleId="479">
    <w:name w:val="pt-a0-000003"/>
    <w:basedOn w:val="62"/>
    <w:qFormat/>
    <w:uiPriority w:val="0"/>
  </w:style>
  <w:style w:type="character" w:customStyle="1" w:styleId="480">
    <w:name w:val="pt-a0-000006"/>
    <w:basedOn w:val="62"/>
    <w:qFormat/>
    <w:uiPriority w:val="0"/>
  </w:style>
  <w:style w:type="table" w:customStyle="1" w:styleId="481">
    <w:name w:val="table"/>
    <w:basedOn w:val="60"/>
    <w:qFormat/>
    <w:uiPriority w:val="0"/>
    <w:rPr>
      <w:rFonts w:ascii="Times New Roman" w:hAnsi="Times New Roman" w:eastAsiaTheme="minorEastAsia"/>
      <w:lang w:eastAsia="en-US"/>
    </w:rPr>
    <w:tblPr>
      <w:tblCellMar>
        <w:top w:w="0" w:type="dxa"/>
        <w:left w:w="108" w:type="dxa"/>
        <w:bottom w:w="0" w:type="dxa"/>
        <w:right w:w="108" w:type="dxa"/>
      </w:tblCellMar>
    </w:tblPr>
  </w:style>
  <w:style w:type="character" w:customStyle="1" w:styleId="482">
    <w:name w:val="pt-a0-000009"/>
    <w:basedOn w:val="62"/>
    <w:qFormat/>
    <w:uiPriority w:val="0"/>
  </w:style>
  <w:style w:type="character" w:customStyle="1" w:styleId="483">
    <w:name w:val="p Character"/>
    <w:basedOn w:val="62"/>
    <w:qFormat/>
    <w:uiPriority w:val="0"/>
  </w:style>
  <w:style w:type="character" w:customStyle="1" w:styleId="484">
    <w:name w:val="pt-a0-000015"/>
    <w:basedOn w:val="62"/>
    <w:qFormat/>
    <w:uiPriority w:val="0"/>
  </w:style>
  <w:style w:type="character" w:customStyle="1" w:styleId="485">
    <w:name w:val="pt-a0-000016"/>
    <w:basedOn w:val="62"/>
    <w:qFormat/>
    <w:uiPriority w:val="0"/>
  </w:style>
  <w:style w:type="character" w:customStyle="1" w:styleId="486">
    <w:name w:val="pt-000018"/>
    <w:basedOn w:val="62"/>
    <w:qFormat/>
    <w:uiPriority w:val="0"/>
  </w:style>
  <w:style w:type="character" w:styleId="487">
    <w:name w:val="Placeholder Text"/>
    <w:basedOn w:val="62"/>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numbering" Target="numbering.xml"/><Relationship Id="rId18" Type="http://schemas.openxmlformats.org/officeDocument/2006/relationships/customXml" Target="../customXml/item3.xml"/><Relationship Id="rId3" Type="http://schemas.openxmlformats.org/officeDocument/2006/relationships/footnotes" Target="footnotes.xml"/><Relationship Id="rId7" Type="http://schemas.openxmlformats.org/officeDocument/2006/relationships/footer" Target="footer3.xml"/><Relationship Id="rId17" Type="http://schemas.openxmlformats.org/officeDocument/2006/relationships/glossaryDocument" Target="glossary/document.xml"/><Relationship Id="rId12" Type="http://schemas.openxmlformats.org/officeDocument/2006/relationships/customXml" Target="../customXml/item1.xml"/><Relationship Id="rId2" Type="http://schemas.openxmlformats.org/officeDocument/2006/relationships/settings" Target="settings.xml"/><Relationship Id="rId16" Type="http://schemas.microsoft.com/office/2011/relationships/people" Target="people.xml"/><Relationship Id="rId20" Type="http://schemas.openxmlformats.org/officeDocument/2006/relationships/customXml" Target="../customXml/item5.xml"/><Relationship Id="rId6" Type="http://schemas.openxmlformats.org/officeDocument/2006/relationships/footer" Target="footer2.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footer" Target="footer5.xml"/><Relationship Id="rId19" Type="http://schemas.openxmlformats.org/officeDocument/2006/relationships/customXml" Target="../customXml/item4.xml"/><Relationship Id="rId9" Type="http://schemas.openxmlformats.org/officeDocument/2006/relationships/header" Target="header1.xml"/><Relationship Id="rId4" Type="http://schemas.openxmlformats.org/officeDocument/2006/relationships/endnotes" Target="endnotes.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3FCB83346D94209B52ED73B4A32ED1D"/>
        <w:style w:val=""/>
        <w:category>
          <w:name w:val="常规"/>
          <w:gallery w:val="placeholder"/>
        </w:category>
        <w:types>
          <w:type w:val="bbPlcHdr"/>
        </w:types>
        <w:behaviors>
          <w:behavior w:val="content"/>
        </w:behaviors>
        <w:description w:val=""/>
        <w:guid w:val="{2427566F-E9C3-4D40-902A-BB75C1FB34EA}"/>
      </w:docPartPr>
      <w:docPartBody>
        <w:p>
          <w:pPr>
            <w:pStyle w:val="5"/>
          </w:pPr>
          <w:r>
            <w:rPr>
              <w:rStyle w:val="4"/>
              <w:rFonts w:hint="eastAsia"/>
            </w:rPr>
            <w:t>单击此处输入文字。</w:t>
          </w:r>
        </w:p>
      </w:docPartBody>
    </w:docPart>
    <w:docPart>
      <w:docPartPr>
        <w:name w:val="2056B7ED138D47799A719174AE82B1E5"/>
        <w:style w:val=""/>
        <w:category>
          <w:name w:val="常规"/>
          <w:gallery w:val="placeholder"/>
        </w:category>
        <w:types>
          <w:type w:val="bbPlcHdr"/>
        </w:types>
        <w:behaviors>
          <w:behavior w:val="content"/>
        </w:behaviors>
        <w:description w:val=""/>
        <w:guid w:val="{70D52E34-42DE-424D-B4D0-8AAEF54AB900}"/>
      </w:docPartPr>
      <w:docPartBody>
        <w:p>
          <w:pPr>
            <w:pStyle w:val="6"/>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6C3C"/>
    <w:rsid w:val="00205908"/>
    <w:rsid w:val="00356E62"/>
    <w:rsid w:val="0041295B"/>
    <w:rsid w:val="00412C7B"/>
    <w:rsid w:val="005527A5"/>
    <w:rsid w:val="005F295E"/>
    <w:rsid w:val="007A51C7"/>
    <w:rsid w:val="00971549"/>
    <w:rsid w:val="00A716BF"/>
    <w:rsid w:val="00AD0E54"/>
    <w:rsid w:val="00B26C3C"/>
    <w:rsid w:val="00C575D4"/>
    <w:rsid w:val="00CF61A9"/>
    <w:rsid w:val="00D52E9B"/>
    <w:rsid w:val="00DA3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53FCB83346D94209B52ED73B4A32ED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056B7ED138D47799A719174AE82B1E5"/>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2C76DF-A346-486A-9FE0-9D6D0CA520AE}"/>
</file>

<file path=customXml/itemProps2.xml><?xml version="1.0" encoding="utf-8"?>
<ds:datastoreItem xmlns:ds="http://schemas.openxmlformats.org/officeDocument/2006/customXml" ds:itemID="{1AE08D67-4B5B-450D-A844-C8CCACAF106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FE14F8C8-20FB-4413-B0DF-58FEA67C4ACB}"/>
</file>

<file path=customXml/itemProps5.xml><?xml version="1.0" encoding="utf-8"?>
<ds:datastoreItem xmlns:ds="http://schemas.openxmlformats.org/officeDocument/2006/customXml" ds:itemID="{0175D203-A491-4E75-986D-985CFED31DA9}"/>
</file>

<file path=docProps/app.xml><?xml version="1.0" encoding="utf-8"?>
<Properties xmlns="http://schemas.openxmlformats.org/officeDocument/2006/extended-properties" xmlns:vt="http://schemas.openxmlformats.org/officeDocument/2006/docPropsVTypes">
  <Template>Normal</Template>
  <Company>Hewlett-Packard Company</Company>
  <Pages>69</Pages>
  <Words>31881</Words>
  <Characters>34105</Characters>
  <Lines>276</Lines>
  <Paragraphs>77</Paragraphs>
  <TotalTime>1794</TotalTime>
  <ScaleCrop>false</ScaleCrop>
  <LinksUpToDate>false</LinksUpToDate>
  <CharactersWithSpaces>35582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杨修正</cp:lastModifiedBy>
  <cp:revision>115</cp:revision>
  <cp:lastPrinted>2021-12-27T08:25:00Z</cp:lastPrinted>
  <dcterms:created xsi:type="dcterms:W3CDTF">2019-07-08T09:52:00Z</dcterms:created>
  <dcterms:modified xsi:type="dcterms:W3CDTF">2022-05-17T08:21:23Z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395D9C02897848E49DE4084848A062FD</vt:lpwstr>
  </property>
  <property fmtid="{D5CDD505-2E9C-101B-9397-08002B2CF9AE}" pid="4" name="ContentTypeId">
    <vt:lpwstr>0x0101002E729F9AE0D1584583FD59BA2085D6E5</vt:lpwstr>
  </property>
</Properties>
</file>